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126.htm"/>
      <w:bookmarkStart w:id="1" w:name="ksf6k_081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001-35165</w:t>
      </w:r>
    </w:p>
    <w:p>
      <w:pPr>
        <w:pStyle w:val="TextBody"/>
        <w:bidi w:val="0"/>
        <w:jc w:val="center"/>
        <w:rPr/>
      </w:pPr>
      <w:r>
        <w:rPr>
          <w:rStyle w:val="StrongEmphasis"/>
          <w:sz w:val="24"/>
        </w:rPr>
        <w:t>BRAINSWAY LTD.</w:t>
      </w:r>
      <w:r>
        <w:rPr/>
        <w:br/>
        <w:t>(Translation of registrant's name into English)</w:t>
      </w:r>
    </w:p>
    <w:p>
      <w:pPr>
        <w:pStyle w:val="TextBody"/>
        <w:bidi w:val="0"/>
        <w:jc w:val="center"/>
        <w:rPr/>
      </w:pPr>
      <w:r>
        <w:rPr>
          <w:rStyle w:val="StrongEmphasis"/>
        </w:rPr>
        <w:t>16 Hartum Street RAD Tower, 14th Floor </w:t>
      </w:r>
      <w:r>
        <w:rPr/>
        <w:br/>
      </w:r>
      <w:r>
        <w:rPr>
          <w:rStyle w:val="StrongEmphasis"/>
        </w:rPr>
        <w:t>Har HaHotzvim</w:t>
        <w:br/>
        <w:t> Jerusalem, 9777516, Israel</w:t>
        <w:br/>
        <w:t>(+972-2) 582-4030</w:t>
        <w:br/>
      </w:r>
      <w:r>
        <w:rPr/>
        <w:t> (Address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tbl>
      <w:tblPr>
        <w:tblW w:w="8800" w:type="dxa"/>
        <w:jc w:val="left"/>
        <w:tblInd w:w="0" w:type="dxa"/>
        <w:tblLayout w:type="fixed"/>
        <w:tblCellMar>
          <w:top w:w="0" w:type="dxa"/>
          <w:left w:w="0" w:type="dxa"/>
          <w:bottom w:w="0" w:type="dxa"/>
          <w:right w:w="0" w:type="dxa"/>
        </w:tblCellMar>
      </w:tblPr>
      <w:tblGrid>
        <w:gridCol w:w="1385"/>
        <w:gridCol w:w="300"/>
        <w:gridCol w:w="711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711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283"/>
              <w:jc w:val="left"/>
              <w:rPr/>
            </w:pPr>
            <w:hyperlink w:anchor="exh_991.htm">
              <w:r>
                <w:rPr>
                  <w:rStyle w:val="InternetLink"/>
                  <w:sz w:val="20"/>
                </w:rPr>
                <w:t>BrainsWay Reports Second Quarter 2026 Financial Results and Operational Highlights</w:t>
              </w:r>
            </w:hyperlink>
            <w:r>
              <w:rPr>
                <w:sz w:val="20"/>
              </w:rPr>
              <w:t xml:space="preserve"> </w:t>
            </w:r>
          </w:p>
        </w:tc>
      </w:tr>
    </w:tbl>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BRAINSWAY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12,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xml:space="preserve">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BrainsWay Reports Second Quarter 2026 Financial Results and Operational Highlights</w:t>
      </w:r>
    </w:p>
    <w:p>
      <w:pPr>
        <w:pStyle w:val="TextBody"/>
        <w:bidi w:val="0"/>
        <w:jc w:val="center"/>
        <w:rPr/>
      </w:pPr>
      <w:r>
        <w:rPr>
          <w:rStyle w:val="Emphasis"/>
        </w:rPr>
        <w:t>Record second quarter 2026 revenue increased</w:t>
      </w:r>
      <w:r>
        <w:rPr/>
        <w:t xml:space="preserve"> </w:t>
      </w:r>
      <w:r>
        <w:rPr>
          <w:rStyle w:val="Emphasis"/>
        </w:rPr>
        <w:t>35% to $17.1 million, compared with</w:t>
      </w:r>
      <w:r>
        <w:rPr/>
        <w:t xml:space="preserve"> </w:t>
      </w:r>
      <w:r>
        <w:rPr>
          <w:rStyle w:val="Emphasis"/>
        </w:rPr>
        <w:t>Q2 2025</w:t>
      </w:r>
    </w:p>
    <w:p>
      <w:pPr>
        <w:pStyle w:val="TextBody"/>
        <w:bidi w:val="0"/>
        <w:jc w:val="center"/>
        <w:rPr/>
      </w:pPr>
      <w:r>
        <w:rPr>
          <w:rStyle w:val="Emphasis"/>
        </w:rPr>
        <w:t>Adjusted EBITDA more than doubled year-over-year to $3.5 million, with margin expanding to 20%</w:t>
      </w:r>
    </w:p>
    <w:p>
      <w:pPr>
        <w:pStyle w:val="TextBody"/>
        <w:bidi w:val="0"/>
        <w:jc w:val="center"/>
        <w:rPr/>
      </w:pPr>
      <w:r>
        <w:rPr>
          <w:rStyle w:val="Emphasis"/>
        </w:rPr>
        <w:t>Remaining performance obligations grew 30% year-over-year to $80.4 million</w:t>
      </w:r>
    </w:p>
    <w:p>
      <w:pPr>
        <w:pStyle w:val="TextBody"/>
        <w:bidi w:val="0"/>
        <w:jc w:val="center"/>
        <w:rPr/>
      </w:pPr>
      <w:r>
        <w:rPr>
          <w:rStyle w:val="Emphasis"/>
        </w:rPr>
        <w:t>Shipped a record total 125 Deep TMS systems in Q2 2026, a 42% increase year-over-year</w:t>
      </w:r>
    </w:p>
    <w:p>
      <w:pPr>
        <w:pStyle w:val="TextBody"/>
        <w:bidi w:val="0"/>
        <w:jc w:val="center"/>
        <w:rPr/>
      </w:pPr>
      <w:r>
        <w:rPr>
          <w:rStyle w:val="Emphasis"/>
        </w:rPr>
        <w:t>Raises FY 2026 revenue and EBITDA guidance</w:t>
      </w:r>
    </w:p>
    <w:p>
      <w:pPr>
        <w:pStyle w:val="TextBody"/>
        <w:bidi w:val="0"/>
        <w:spacing w:before="0" w:after="283"/>
        <w:jc w:val="left"/>
        <w:rPr/>
      </w:pPr>
      <w:r>
        <w:rPr/>
        <w:t>BURLINGTON, Mass. and JERUSALEM, Aug. 12, 2026 (GLOBE NEWSWIRE) -- BrainsWay Ltd. (NASDAQ &amp; TASE: BWAY) (“BrainsWay” or the “Company”), a global leader in advanced noninvasive neurostimulation treatments for mental health disorders, today reported its second quarter 2026 financial results and provided an operational update.</w:t>
      </w:r>
    </w:p>
    <w:p>
      <w:pPr>
        <w:pStyle w:val="TextBody"/>
        <w:bidi w:val="0"/>
        <w:spacing w:before="0" w:after="283"/>
        <w:jc w:val="left"/>
        <w:rPr/>
      </w:pPr>
      <w:r>
        <w:rPr>
          <w:rStyle w:val="StrongEmphasis"/>
        </w:rPr>
        <w:t>Recent Financial and Operational Highlights</w:t>
      </w:r>
    </w:p>
    <w:p>
      <w:pPr>
        <w:pStyle w:val="TextBody"/>
        <w:numPr>
          <w:ilvl w:val="0"/>
          <w:numId w:val="2"/>
        </w:numPr>
        <w:tabs>
          <w:tab w:val="clear" w:pos="1134"/>
          <w:tab w:val="left" w:pos="709" w:leader="none"/>
        </w:tabs>
        <w:bidi w:val="0"/>
        <w:spacing w:before="0" w:after="0"/>
        <w:ind w:left="709" w:hanging="283"/>
        <w:jc w:val="left"/>
        <w:rPr/>
      </w:pPr>
      <w:r>
        <w:rPr/>
        <w:t xml:space="preserve">Revenue in the second quarter of 2026 increased 35% to $17.1 million, compared with $12.6 million in the second quarter of 2025. </w:t>
      </w:r>
    </w:p>
    <w:p>
      <w:pPr>
        <w:pStyle w:val="TextBody"/>
        <w:numPr>
          <w:ilvl w:val="0"/>
          <w:numId w:val="2"/>
        </w:numPr>
        <w:tabs>
          <w:tab w:val="clear" w:pos="1134"/>
          <w:tab w:val="left" w:pos="709" w:leader="none"/>
        </w:tabs>
        <w:bidi w:val="0"/>
        <w:spacing w:before="0" w:after="0"/>
        <w:ind w:left="709" w:hanging="283"/>
        <w:jc w:val="left"/>
        <w:rPr/>
      </w:pPr>
      <w:r>
        <w:rPr/>
        <w:t xml:space="preserve">Remaining performance obligations (RPOs) rose to $80.4 million as of June 30, 2026, a 30% increase compared with the same period last year. </w:t>
      </w:r>
    </w:p>
    <w:p>
      <w:pPr>
        <w:pStyle w:val="TextBody"/>
        <w:numPr>
          <w:ilvl w:val="0"/>
          <w:numId w:val="2"/>
        </w:numPr>
        <w:tabs>
          <w:tab w:val="clear" w:pos="1134"/>
          <w:tab w:val="left" w:pos="709" w:leader="none"/>
        </w:tabs>
        <w:bidi w:val="0"/>
        <w:spacing w:before="0" w:after="0"/>
        <w:ind w:left="709" w:hanging="283"/>
        <w:jc w:val="left"/>
        <w:rPr/>
      </w:pPr>
      <w:r>
        <w:rPr/>
        <w:t xml:space="preserve">Shipped a record total 125 Deep TMS systems during the second quarter of 2026, a 42% increase compared with the same period last year. Total installed base now stands at approximately 1,949. </w:t>
      </w:r>
    </w:p>
    <w:p>
      <w:pPr>
        <w:pStyle w:val="TextBody"/>
        <w:numPr>
          <w:ilvl w:val="0"/>
          <w:numId w:val="2"/>
        </w:numPr>
        <w:tabs>
          <w:tab w:val="clear" w:pos="1134"/>
          <w:tab w:val="left" w:pos="709" w:leader="none"/>
        </w:tabs>
        <w:bidi w:val="0"/>
        <w:spacing w:before="0" w:after="0"/>
        <w:ind w:left="709" w:hanging="283"/>
        <w:jc w:val="left"/>
        <w:rPr/>
      </w:pPr>
      <w:r>
        <w:rPr/>
        <w:t xml:space="preserve">Operating income for the second quarter of 2026 increased more than 300% to $2.4 million, compared with $0.6 million for the prior year period. Operating margin for the quarter expanded to 14% from 5% for the prior year period. </w:t>
      </w:r>
    </w:p>
    <w:p>
      <w:pPr>
        <w:pStyle w:val="TextBody"/>
        <w:numPr>
          <w:ilvl w:val="0"/>
          <w:numId w:val="2"/>
        </w:numPr>
        <w:tabs>
          <w:tab w:val="clear" w:pos="1134"/>
          <w:tab w:val="left" w:pos="709" w:leader="none"/>
        </w:tabs>
        <w:bidi w:val="0"/>
        <w:spacing w:before="0" w:after="0"/>
        <w:ind w:left="709" w:hanging="283"/>
        <w:jc w:val="left"/>
        <w:rPr/>
      </w:pPr>
      <w:r>
        <w:rPr/>
        <w:t xml:space="preserve">Adjusted EBITDA for the second quarter of 2026 increased 141% to $3.5 million, compared with $1.5 million for the prior year period. Adjusted EBITDA margin for the quarter expanded to 20% from 11% for the prior year period. </w:t>
      </w:r>
    </w:p>
    <w:p>
      <w:pPr>
        <w:pStyle w:val="TextBody"/>
        <w:numPr>
          <w:ilvl w:val="0"/>
          <w:numId w:val="2"/>
        </w:numPr>
        <w:tabs>
          <w:tab w:val="clear" w:pos="1134"/>
          <w:tab w:val="left" w:pos="709" w:leader="none"/>
        </w:tabs>
        <w:bidi w:val="0"/>
        <w:spacing w:before="0" w:after="0"/>
        <w:ind w:left="709" w:hanging="283"/>
        <w:jc w:val="left"/>
        <w:rPr/>
      </w:pPr>
      <w:r>
        <w:rPr/>
        <w:t xml:space="preserve">Net income for the second quarter of 2026 increased 34% to $2.7 million, compared with $2.0 million for the prior year period. </w:t>
      </w:r>
    </w:p>
    <w:p>
      <w:pPr>
        <w:pStyle w:val="TextBody"/>
        <w:numPr>
          <w:ilvl w:val="0"/>
          <w:numId w:val="2"/>
        </w:numPr>
        <w:tabs>
          <w:tab w:val="clear" w:pos="1134"/>
          <w:tab w:val="left" w:pos="709" w:leader="none"/>
        </w:tabs>
        <w:bidi w:val="0"/>
        <w:spacing w:before="0" w:after="0"/>
        <w:ind w:left="709" w:hanging="283"/>
        <w:jc w:val="left"/>
        <w:rPr/>
      </w:pPr>
      <w:r>
        <w:rPr/>
        <w:t xml:space="preserve">As of June 30, 2026, cash and cash equivalents and restricted cash totaled $62.4 million, an increase of approximately 6% compared with March 31, 2026. </w:t>
      </w:r>
    </w:p>
    <w:p>
      <w:pPr>
        <w:pStyle w:val="TextBody"/>
        <w:numPr>
          <w:ilvl w:val="0"/>
          <w:numId w:val="2"/>
        </w:numPr>
        <w:tabs>
          <w:tab w:val="clear" w:pos="1134"/>
          <w:tab w:val="left" w:pos="709" w:leader="none"/>
        </w:tabs>
        <w:bidi w:val="0"/>
        <w:spacing w:before="0" w:after="0"/>
        <w:ind w:left="709" w:hanging="283"/>
        <w:jc w:val="left"/>
        <w:rPr/>
      </w:pPr>
      <w:r>
        <w:rPr/>
        <w:t xml:space="preserve">Generated $6.3 million of cash flow from operations during the second quarter of 2026. </w:t>
      </w:r>
    </w:p>
    <w:p>
      <w:pPr>
        <w:pStyle w:val="TextBody"/>
        <w:numPr>
          <w:ilvl w:val="0"/>
          <w:numId w:val="2"/>
        </w:numPr>
        <w:tabs>
          <w:tab w:val="clear" w:pos="1134"/>
          <w:tab w:val="left" w:pos="709" w:leader="none"/>
        </w:tabs>
        <w:bidi w:val="0"/>
        <w:spacing w:before="0" w:after="0"/>
        <w:ind w:left="709" w:hanging="283"/>
        <w:jc w:val="left"/>
        <w:rPr/>
      </w:pPr>
      <w:r>
        <w:rPr/>
        <w:t xml:space="preserve">Continued expansion of insurer coverage for the SWIFT (Short-course with Intrinsic Field Targeting) accelerated Deep TMS protocol. </w:t>
      </w:r>
    </w:p>
    <w:p>
      <w:pPr>
        <w:pStyle w:val="TextBody"/>
        <w:numPr>
          <w:ilvl w:val="0"/>
          <w:numId w:val="2"/>
        </w:numPr>
        <w:tabs>
          <w:tab w:val="clear" w:pos="1134"/>
          <w:tab w:val="left" w:pos="709" w:leader="none"/>
        </w:tabs>
        <w:bidi w:val="0"/>
        <w:spacing w:before="0" w:after="0"/>
        <w:ind w:left="709" w:hanging="283"/>
        <w:jc w:val="left"/>
        <w:rPr/>
      </w:pPr>
      <w:r>
        <w:rPr/>
        <w:t xml:space="preserve">Presented real-world data in patients with comorbid post-traumatic stress disorder (PTSD) and major depressive disorder (MDD), demonstrating an 83.5% response rate in PTSD symptoms, with a mean 52% reduction in PCL-5 scores. </w:t>
      </w:r>
    </w:p>
    <w:p>
      <w:pPr>
        <w:pStyle w:val="TextBody"/>
        <w:numPr>
          <w:ilvl w:val="0"/>
          <w:numId w:val="2"/>
        </w:numPr>
        <w:tabs>
          <w:tab w:val="clear" w:pos="1134"/>
          <w:tab w:val="left" w:pos="709" w:leader="none"/>
        </w:tabs>
        <w:bidi w:val="0"/>
        <w:spacing w:before="0" w:after="0"/>
        <w:ind w:left="709" w:hanging="283"/>
        <w:jc w:val="left"/>
        <w:rPr/>
      </w:pPr>
      <w:r>
        <w:rPr/>
        <w:t xml:space="preserve">Presented the first prospective 12-month durability data for the SWIFT accelerated Deep TMS protocol at the 14th Annual Clinical TMS Society (CTMSS) Meeting, demonstrating sustained clinical improvement through one year following treatment. </w:t>
      </w:r>
    </w:p>
    <w:p>
      <w:pPr>
        <w:pStyle w:val="TextBody"/>
        <w:numPr>
          <w:ilvl w:val="0"/>
          <w:numId w:val="2"/>
        </w:numPr>
        <w:tabs>
          <w:tab w:val="clear" w:pos="1134"/>
          <w:tab w:val="left" w:pos="709" w:leader="none"/>
        </w:tabs>
        <w:bidi w:val="0"/>
        <w:ind w:left="709" w:hanging="283"/>
        <w:jc w:val="left"/>
        <w:rPr/>
      </w:pPr>
      <w:r>
        <w:rPr/>
        <w:t>Continued expanding the Company's growing minority investment portfolio through strategic investments in Hopemark Health and Radial Health, with several previous portfolio investment targets indicating significant growth in patient access to care due to the growth capital afforded under the program.</w:t>
      </w:r>
    </w:p>
    <w:p>
      <w:pPr>
        <w:pStyle w:val="TextBody"/>
        <w:bidi w:val="0"/>
        <w:spacing w:before="0" w:after="283"/>
        <w:jc w:val="left"/>
        <w:rPr/>
      </w:pPr>
      <w:r>
        <w:rPr>
          <w:rStyle w:val="StrongEmphasis"/>
        </w:rPr>
        <w:t>Updated Full-Year 2026 Financial Guidance</w:t>
      </w:r>
    </w:p>
    <w:p>
      <w:pPr>
        <w:pStyle w:val="TextBody"/>
        <w:bidi w:val="0"/>
        <w:spacing w:before="0" w:after="283"/>
        <w:jc w:val="left"/>
        <w:rPr/>
      </w:pPr>
      <w:r>
        <w:rPr/>
        <w:t>The Company now expects to report for the full-year ended December 31, 2026:</w:t>
      </w:r>
    </w:p>
    <w:p>
      <w:pPr>
        <w:pStyle w:val="TextBody"/>
        <w:numPr>
          <w:ilvl w:val="0"/>
          <w:numId w:val="3"/>
        </w:numPr>
        <w:tabs>
          <w:tab w:val="clear" w:pos="1134"/>
          <w:tab w:val="left" w:pos="709" w:leader="none"/>
        </w:tabs>
        <w:bidi w:val="0"/>
        <w:spacing w:before="0" w:after="0"/>
        <w:ind w:left="709" w:hanging="283"/>
        <w:jc w:val="left"/>
        <w:rPr/>
      </w:pPr>
      <w:r>
        <w:rPr/>
        <w:t xml:space="preserve">Revenue of $68 million to $70 million, compared to the previous range of $66 to $68 million. The updated revenue guidance represents anticipated growth of approximately 30% to 34% compared with revenue for 2025. </w:t>
      </w:r>
    </w:p>
    <w:p>
      <w:pPr>
        <w:pStyle w:val="TextBody"/>
        <w:numPr>
          <w:ilvl w:val="0"/>
          <w:numId w:val="3"/>
        </w:numPr>
        <w:tabs>
          <w:tab w:val="clear" w:pos="1134"/>
          <w:tab w:val="left" w:pos="709" w:leader="none"/>
        </w:tabs>
        <w:bidi w:val="0"/>
        <w:spacing w:before="0" w:after="0"/>
        <w:ind w:left="709" w:hanging="283"/>
        <w:jc w:val="left"/>
        <w:rPr/>
      </w:pPr>
      <w:r>
        <w:rPr/>
        <w:t xml:space="preserve">Operating income of 13.5% to 14% of revenue, compared to the previous range of 13%-14%. </w:t>
      </w:r>
    </w:p>
    <w:p>
      <w:pPr>
        <w:pStyle w:val="TextBody"/>
        <w:numPr>
          <w:ilvl w:val="0"/>
          <w:numId w:val="3"/>
        </w:numPr>
        <w:tabs>
          <w:tab w:val="clear" w:pos="1134"/>
          <w:tab w:val="left" w:pos="709" w:leader="none"/>
        </w:tabs>
        <w:bidi w:val="0"/>
        <w:ind w:left="709" w:hanging="283"/>
        <w:jc w:val="left"/>
        <w:rPr/>
      </w:pPr>
      <w:r>
        <w:rPr/>
        <w:t>Adjusted EBITDA of $13 million to $14 million, compared to the previous range of $12 million to $14 million. The updated Adjusted EBITDA guidance represents anticipated growth of approximately 90% to 100% over 2025.</w:t>
      </w:r>
    </w:p>
    <w:p>
      <w:pPr>
        <w:pStyle w:val="TextBody"/>
        <w:bidi w:val="0"/>
        <w:spacing w:before="0" w:after="283"/>
        <w:jc w:val="left"/>
        <w:rPr/>
      </w:pPr>
      <w:r>
        <w:rPr/>
        <w:t>“</w:t>
      </w:r>
      <w:r>
        <w:rPr/>
        <w:t>This quarter marked our second consecutive quarter of approximately 35% revenue growth and further expansion in operating leverage. Revenue reached a record $17.1 million, Adjusted EBITDA more than doubled to $3.5 million, and we generated more than $6.0 million of operating cash flow. Record system shipments and RPO of $80.4 million further strengthen our visibility into continued growth,” said Hadar Levy, Chief Executive Officer of BrainsWay. “We are seeing strong momentum across the business, which is fueled by expanding reimbursement coverage and increasing utilization throughout our installed base. As a result, we are raising our full-year financial guidance for 2026.”</w:t>
      </w:r>
    </w:p>
    <w:p>
      <w:pPr>
        <w:pStyle w:val="TextBody"/>
        <w:bidi w:val="0"/>
        <w:spacing w:before="0" w:after="283"/>
        <w:jc w:val="left"/>
        <w:rPr/>
      </w:pPr>
      <w:r>
        <w:rPr>
          <w:rStyle w:val="StrongEmphasis"/>
        </w:rPr>
        <w:t>Call and Webcast</w:t>
      </w:r>
    </w:p>
    <w:p>
      <w:pPr>
        <w:pStyle w:val="TextBody"/>
        <w:bidi w:val="0"/>
        <w:spacing w:before="0" w:after="283"/>
        <w:jc w:val="left"/>
        <w:rPr/>
      </w:pPr>
      <w:r>
        <w:rPr/>
        <w:t>BrainsWay’s management will host a conference call in English on Wednesday, August 12, 2026, at 8:30 a.m. Eastern Daylight Time (EDT) to discuss these results and answer questions, followed by a webinar hosted in Hebrew on Thursday, August 13, 2026, at 11:00 AM Israel Daylight Time (IDT). All details to access these events are listed below.</w:t>
      </w:r>
    </w:p>
    <w:p>
      <w:pPr>
        <w:pStyle w:val="TextBody"/>
        <w:bidi w:val="0"/>
        <w:jc w:val="left"/>
        <w:rPr>
          <w:u w:val="single"/>
        </w:rPr>
      </w:pPr>
      <w:r>
        <w:rPr>
          <w:u w:val="single"/>
        </w:rPr>
        <w:t>In English:</w:t>
      </w:r>
    </w:p>
    <w:p>
      <w:pPr>
        <w:pStyle w:val="TextBody"/>
        <w:numPr>
          <w:ilvl w:val="0"/>
          <w:numId w:val="4"/>
        </w:numPr>
        <w:tabs>
          <w:tab w:val="clear" w:pos="1134"/>
          <w:tab w:val="left" w:pos="709" w:leader="none"/>
        </w:tabs>
        <w:bidi w:val="0"/>
        <w:spacing w:before="0" w:after="160"/>
        <w:ind w:left="709" w:hanging="283"/>
        <w:jc w:val="left"/>
        <w:rPr/>
      </w:pPr>
      <w:r>
        <w:rPr/>
        <w:t xml:space="preserve">Date: Wednesday, August 12, 2026 </w:t>
      </w:r>
    </w:p>
    <w:p>
      <w:pPr>
        <w:pStyle w:val="TextBody"/>
        <w:numPr>
          <w:ilvl w:val="0"/>
          <w:numId w:val="4"/>
        </w:numPr>
        <w:tabs>
          <w:tab w:val="clear" w:pos="1134"/>
          <w:tab w:val="left" w:pos="709" w:leader="none"/>
        </w:tabs>
        <w:bidi w:val="0"/>
        <w:spacing w:before="0" w:after="160"/>
        <w:ind w:left="709" w:hanging="283"/>
        <w:jc w:val="left"/>
        <w:rPr/>
      </w:pPr>
      <w:r>
        <w:rPr/>
        <w:t xml:space="preserve">Time: 8:30 AM EDT </w:t>
      </w:r>
    </w:p>
    <w:p>
      <w:pPr>
        <w:pStyle w:val="TextBody"/>
        <w:numPr>
          <w:ilvl w:val="0"/>
          <w:numId w:val="4"/>
        </w:numPr>
        <w:tabs>
          <w:tab w:val="clear" w:pos="1134"/>
          <w:tab w:val="left" w:pos="709" w:leader="none"/>
        </w:tabs>
        <w:bidi w:val="0"/>
        <w:spacing w:before="0" w:after="160"/>
        <w:ind w:left="709" w:hanging="283"/>
        <w:jc w:val="left"/>
        <w:rPr/>
      </w:pPr>
      <w:r>
        <w:rPr/>
        <w:t xml:space="preserve">Dial-In: 1-877-269-7751 (U.S) / 1-201-389-0908 (International) </w:t>
      </w:r>
    </w:p>
    <w:p>
      <w:pPr>
        <w:pStyle w:val="TextBody"/>
        <w:numPr>
          <w:ilvl w:val="0"/>
          <w:numId w:val="4"/>
        </w:numPr>
        <w:tabs>
          <w:tab w:val="clear" w:pos="1134"/>
          <w:tab w:val="left" w:pos="709" w:leader="none"/>
        </w:tabs>
        <w:bidi w:val="0"/>
        <w:spacing w:before="0" w:after="160"/>
        <w:ind w:left="709" w:hanging="283"/>
        <w:jc w:val="left"/>
        <w:rPr/>
      </w:pPr>
      <w:r>
        <w:rPr/>
        <w:t xml:space="preserve">Conference ID: 13761391 </w:t>
      </w:r>
    </w:p>
    <w:p>
      <w:pPr>
        <w:pStyle w:val="TextBody"/>
        <w:numPr>
          <w:ilvl w:val="0"/>
          <w:numId w:val="4"/>
        </w:numPr>
        <w:tabs>
          <w:tab w:val="clear" w:pos="1134"/>
          <w:tab w:val="left" w:pos="709" w:leader="none"/>
        </w:tabs>
        <w:bidi w:val="0"/>
        <w:spacing w:before="0" w:after="160"/>
        <w:ind w:left="709" w:hanging="283"/>
        <w:jc w:val="left"/>
        <w:rPr/>
      </w:pPr>
      <w:r>
        <w:rPr/>
        <w:t xml:space="preserve">The U.S. conference call will be broadcast live and will be available for replay for 30 days on the Company’s website at investors.brainsway.com and through this link: https://viavid.webcasts.com/starthere.jsp?ei=1768433&amp;tp_key=0923ccd15a </w:t>
      </w:r>
    </w:p>
    <w:p>
      <w:pPr>
        <w:pStyle w:val="TextBody"/>
        <w:bidi w:val="0"/>
        <w:jc w:val="left"/>
        <w:rPr>
          <w:u w:val="single"/>
        </w:rPr>
      </w:pPr>
      <w:r>
        <w:rPr>
          <w:u w:val="single"/>
        </w:rPr>
        <w:t>In Hebrew:</w:t>
      </w:r>
    </w:p>
    <w:p>
      <w:pPr>
        <w:pStyle w:val="TextBody"/>
        <w:numPr>
          <w:ilvl w:val="0"/>
          <w:numId w:val="5"/>
        </w:numPr>
        <w:tabs>
          <w:tab w:val="clear" w:pos="1134"/>
          <w:tab w:val="left" w:pos="709" w:leader="none"/>
        </w:tabs>
        <w:bidi w:val="0"/>
        <w:spacing w:before="0" w:after="160"/>
        <w:ind w:left="709" w:hanging="283"/>
        <w:jc w:val="left"/>
        <w:rPr/>
      </w:pPr>
      <w:r>
        <w:rPr/>
        <w:t xml:space="preserve">Date: Thursday, August 13, 2026 </w:t>
      </w:r>
    </w:p>
    <w:p>
      <w:pPr>
        <w:pStyle w:val="TextBody"/>
        <w:numPr>
          <w:ilvl w:val="0"/>
          <w:numId w:val="5"/>
        </w:numPr>
        <w:tabs>
          <w:tab w:val="clear" w:pos="1134"/>
          <w:tab w:val="left" w:pos="709" w:leader="none"/>
        </w:tabs>
        <w:bidi w:val="0"/>
        <w:spacing w:before="0" w:after="160"/>
        <w:ind w:left="709" w:hanging="283"/>
        <w:jc w:val="left"/>
        <w:rPr/>
      </w:pPr>
      <w:r>
        <w:rPr/>
        <w:t xml:space="preserve">Time: 11:00 AM IDT </w:t>
      </w:r>
    </w:p>
    <w:p>
      <w:pPr>
        <w:pStyle w:val="TextBody"/>
        <w:numPr>
          <w:ilvl w:val="0"/>
          <w:numId w:val="5"/>
        </w:numPr>
        <w:tabs>
          <w:tab w:val="clear" w:pos="1134"/>
          <w:tab w:val="left" w:pos="709" w:leader="none"/>
        </w:tabs>
        <w:bidi w:val="0"/>
        <w:spacing w:before="0" w:after="160"/>
        <w:ind w:left="709" w:hanging="283"/>
        <w:jc w:val="left"/>
        <w:rPr/>
      </w:pPr>
      <w:r>
        <w:rPr/>
        <w:t>To register for this webinar, please click here: BrainsWay Q2 2026 IL Investor Webinar</w:t>
      </w:r>
    </w:p>
    <w:p>
      <w:pPr>
        <w:pStyle w:val="TextBody"/>
        <w:bidi w:val="0"/>
        <w:spacing w:before="0" w:after="283"/>
        <w:jc w:val="left"/>
        <w:rPr/>
      </w:pPr>
      <w:r>
        <w:rPr>
          <w:rStyle w:val="StrongEmphasis"/>
        </w:rPr>
        <w:t>Non-IFRS Financial Measures</w:t>
      </w:r>
    </w:p>
    <w:p>
      <w:pPr>
        <w:pStyle w:val="TextBody"/>
        <w:bidi w:val="0"/>
        <w:spacing w:before="0" w:after="283"/>
        <w:jc w:val="left"/>
        <w:rPr/>
      </w:pPr>
      <w:r>
        <w:rPr/>
        <w:t>In addition to our results determined in accordance with International Financial Reporting Standards (IFRS), including in particular operating profit and net profit, we believe that Adjusted EBITDA, a non-IFRS measure, is useful in evaluating our operating performance. We define Adjusted EBITDA as net profit adjusted for depreciation and amortization, finance income, finance expenses, income taxes, cost of share-based payments, and one-time restructuring and litigation expenses.</w:t>
      </w:r>
    </w:p>
    <w:p>
      <w:pPr>
        <w:pStyle w:val="TextBody"/>
        <w:bidi w:val="0"/>
        <w:spacing w:before="0" w:after="283"/>
        <w:jc w:val="left"/>
        <w:rPr/>
      </w:pPr>
      <w:r>
        <w:rPr/>
        <w:t>In addition to operating income (loss) and net income (loss), we use Adjusted EBITDA as a measure of operational efficiency. We believe that this non-IFRS financial measure is useful to investors for period-to-period comparisons of our business and in understanding and evaluating our operating results for the following reasons:</w:t>
      </w:r>
    </w:p>
    <w:p>
      <w:pPr>
        <w:pStyle w:val="TextBody"/>
        <w:numPr>
          <w:ilvl w:val="0"/>
          <w:numId w:val="6"/>
        </w:numPr>
        <w:tabs>
          <w:tab w:val="clear" w:pos="1134"/>
          <w:tab w:val="left" w:pos="709" w:leader="none"/>
        </w:tabs>
        <w:bidi w:val="0"/>
        <w:spacing w:before="0" w:after="160"/>
        <w:ind w:left="709" w:hanging="283"/>
        <w:jc w:val="left"/>
        <w:rPr/>
      </w:pPr>
      <w:r>
        <w:rPr/>
        <w:t xml:space="preserve">Adjusted EBITDA is widely used by investors and securities analysts to measure a company’s operating performance without regard to items such as stock-based compensation expenses, depreciation and amortization, finance expenses, income taxes, and certain one-time items such as restructuring and litigation expenses, that can vary substantially from company to company depending upon their financing, capital structures and the method by which assets were acquired. </w:t>
      </w:r>
    </w:p>
    <w:p>
      <w:pPr>
        <w:pStyle w:val="TextBody"/>
        <w:numPr>
          <w:ilvl w:val="0"/>
          <w:numId w:val="6"/>
        </w:numPr>
        <w:tabs>
          <w:tab w:val="clear" w:pos="1134"/>
          <w:tab w:val="left" w:pos="709" w:leader="none"/>
        </w:tabs>
        <w:bidi w:val="0"/>
        <w:spacing w:before="0" w:after="160"/>
        <w:ind w:left="709" w:hanging="283"/>
        <w:jc w:val="left"/>
        <w:rPr/>
      </w:pPr>
      <w:r>
        <w:rPr/>
        <w:t>Our management uses Adjusted EBITDA in conjunction with IFRS financial measures for planning purposes, including the preparation of our annual operating budget, as a measure of operating performance and the effectiveness of our business strategies and in communications with our board of directors concerning our financial performance; and Adjusted EBITDA provides consistency and comparability with our past financial performance, facilitates period-to-period comparisons of operations, and also facilitates comparisons with other peer companies, many of which use similar non-IFRS or non-GAAP financial measures to supplement their IFRS or GAAP results.</w:t>
      </w:r>
    </w:p>
    <w:p>
      <w:pPr>
        <w:pStyle w:val="TextBody"/>
        <w:bidi w:val="0"/>
        <w:spacing w:before="0" w:after="283"/>
        <w:jc w:val="left"/>
        <w:rPr/>
      </w:pPr>
      <w:r>
        <w:rPr/>
        <w:t>Adjusted EBITDA, however, should not be considered as an alternative to operating profit (loss) or net profit (loss) for the period and may not be indicative of the historic operating results of the Company; nor is it meant to be predictive of potential future results. Adjusted EBITDA is not a measure of financial performance under IFRS and may not be comparable to other similarly titled measures for other companies. A reconciliation between the Company’s net profit (loss) and Adjusted EBITDA is presented in the attached summary financial statements.</w:t>
      </w:r>
    </w:p>
    <w:p>
      <w:pPr>
        <w:pStyle w:val="TextBody"/>
        <w:bidi w:val="0"/>
        <w:spacing w:before="0" w:after="283"/>
        <w:jc w:val="left"/>
        <w:rPr/>
      </w:pPr>
      <w:r>
        <w:rPr/>
        <w:t>Because of these and other limitations, you should consider Adjusted EBITDA along with other IFRS-based financial performance measures, including net profit (loss) and our IFRS financial results.</w:t>
      </w:r>
    </w:p>
    <w:p>
      <w:pPr>
        <w:pStyle w:val="TextBody"/>
        <w:bidi w:val="0"/>
        <w:spacing w:before="0" w:after="283"/>
        <w:jc w:val="left"/>
        <w:rPr/>
      </w:pPr>
      <w:r>
        <w:rPr>
          <w:rStyle w:val="StrongEmphasis"/>
        </w:rPr>
        <w:t>About BrainsWay</w:t>
      </w:r>
      <w:r>
        <w:rPr/>
        <w:b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pStyle w:val="TextBody"/>
        <w:bidi w:val="0"/>
        <w:spacing w:before="0" w:after="283"/>
        <w:jc w:val="left"/>
        <w:rPr/>
      </w:pPr>
      <w:r>
        <w:rPr>
          <w:rStyle w:val="StrongEmphasis"/>
        </w:rPr>
        <w:t>Forward-Looking Statements</w:t>
      </w:r>
      <w:r>
        <w:rPr/>
        <w:br/>
      </w:r>
      <w:r>
        <w:rPr>
          <w:rStyle w:val="Emphasis"/>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risks relating to the Company’s ability to consummate, finance and close proposed or potential investments,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r>
        <w:rPr/>
        <w:br/>
      </w:r>
      <w:r>
        <w:rPr>
          <w:rStyle w:val="Emphasis"/>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pStyle w:val="TextBody"/>
        <w:bidi w:val="0"/>
        <w:spacing w:before="0" w:after="283"/>
        <w:jc w:val="left"/>
        <w:rPr/>
      </w:pPr>
      <w:r>
        <w:rPr>
          <w:rStyle w:val="StrongEmphasis"/>
        </w:rPr>
        <w:t>Contacts:</w:t>
      </w:r>
      <w:r>
        <w:rPr/>
        <w:br/>
        <w:t>BrainsWay:</w:t>
        <w:br/>
        <w:t>Ido Marom</w:t>
        <w:br/>
        <w:t>Chief Financial Officer</w:t>
        <w:br/>
        <w:t>Ido.Marom@BrainsWay.com</w:t>
      </w:r>
    </w:p>
    <w:p>
      <w:pPr>
        <w:pStyle w:val="TextBody"/>
        <w:bidi w:val="0"/>
        <w:spacing w:before="0" w:after="283"/>
        <w:jc w:val="left"/>
        <w:rPr/>
      </w:pPr>
      <w:r>
        <w:rPr>
          <w:rStyle w:val="StrongEmphasis"/>
        </w:rPr>
        <w:t>Investors:</w:t>
      </w:r>
      <w:r>
        <w:rPr/>
        <w:br/>
        <w:t>Brian Ritchie</w:t>
        <w:br/>
        <w:t>LifeSci Advisors LLC</w:t>
        <w:br/>
        <w:t>britchie@lifesciadvisors.com</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7312" w:type="dxa"/>
        <w:jc w:val="left"/>
        <w:tblInd w:w="0" w:type="dxa"/>
        <w:tblLayout w:type="fixed"/>
        <w:tblCellMar>
          <w:top w:w="28" w:type="dxa"/>
          <w:left w:w="28" w:type="dxa"/>
          <w:bottom w:w="28" w:type="dxa"/>
          <w:right w:w="28" w:type="dxa"/>
        </w:tblCellMar>
      </w:tblPr>
      <w:tblGrid>
        <w:gridCol w:w="4036"/>
        <w:gridCol w:w="146"/>
        <w:gridCol w:w="226"/>
        <w:gridCol w:w="886"/>
        <w:gridCol w:w="181"/>
        <w:gridCol w:w="146"/>
        <w:gridCol w:w="146"/>
        <w:gridCol w:w="261"/>
        <w:gridCol w:w="1023"/>
        <w:gridCol w:w="261"/>
      </w:tblGrid>
      <w:tr>
        <w:trPr/>
        <w:tc>
          <w:tcPr>
            <w:tcW w:w="7312" w:type="dxa"/>
            <w:gridSpan w:val="10"/>
            <w:tcBorders/>
            <w:vAlign w:val="center"/>
          </w:tcPr>
          <w:p>
            <w:pPr>
              <w:pStyle w:val="TableContents"/>
              <w:bidi w:val="0"/>
              <w:spacing w:before="0" w:after="283"/>
              <w:jc w:val="left"/>
              <w:rPr/>
            </w:pPr>
            <w:r>
              <w:rPr/>
              <w:t> </w:t>
            </w:r>
          </w:p>
        </w:tc>
      </w:tr>
      <w:tr>
        <w:trPr/>
        <w:tc>
          <w:tcPr>
            <w:tcW w:w="7312" w:type="dxa"/>
            <w:gridSpan w:val="10"/>
            <w:tcBorders/>
            <w:vAlign w:val="center"/>
          </w:tcPr>
          <w:p>
            <w:pPr>
              <w:pStyle w:val="TableContents"/>
              <w:bidi w:val="0"/>
              <w:spacing w:before="0" w:after="283"/>
              <w:jc w:val="center"/>
              <w:rPr/>
            </w:pPr>
            <w:r>
              <w:rPr>
                <w:rStyle w:val="StrongEmphasis"/>
              </w:rPr>
              <w:t>BRAINSWAY LTD. AND SUBSIDIARIES</w:t>
            </w:r>
          </w:p>
        </w:tc>
      </w:tr>
      <w:tr>
        <w:trPr/>
        <w:tc>
          <w:tcPr>
            <w:tcW w:w="7312" w:type="dxa"/>
            <w:gridSpan w:val="10"/>
            <w:tcBorders/>
            <w:vAlign w:val="center"/>
          </w:tcPr>
          <w:p>
            <w:pPr>
              <w:pStyle w:val="TableContents"/>
              <w:bidi w:val="0"/>
              <w:spacing w:before="0" w:after="283"/>
              <w:jc w:val="center"/>
              <w:rPr/>
            </w:pPr>
            <w:r>
              <w:rPr>
                <w:rStyle w:val="StrongEmphasis"/>
              </w:rPr>
              <w:t>CONSOLIDATED STATEMENTS OF FINANCIAL POSITION</w:t>
            </w:r>
          </w:p>
        </w:tc>
      </w:tr>
      <w:tr>
        <w:trPr/>
        <w:tc>
          <w:tcPr>
            <w:tcW w:w="7312" w:type="dxa"/>
            <w:gridSpan w:val="10"/>
            <w:tcBorders/>
            <w:vAlign w:val="center"/>
          </w:tcPr>
          <w:p>
            <w:pPr>
              <w:pStyle w:val="TableContents"/>
              <w:bidi w:val="0"/>
              <w:spacing w:before="0" w:after="283"/>
              <w:jc w:val="center"/>
              <w:rPr/>
            </w:pPr>
            <w:r>
              <w:rPr>
                <w:rStyle w:val="StrongEmphasis"/>
              </w:rPr>
              <w:t>U.S. dollars in thousands</w:t>
            </w:r>
          </w:p>
        </w:tc>
      </w:tr>
      <w:tr>
        <w:trPr/>
        <w:tc>
          <w:tcPr>
            <w:tcW w:w="40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5" w:type="dxa"/>
            <w:gridSpan w:val="3"/>
            <w:tcBorders/>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center"/>
              <w:rPr/>
            </w:pPr>
            <w:r>
              <w:rPr>
                <w:rStyle w:val="StrongEmphasis"/>
              </w:rPr>
              <w:t>June 30,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center"/>
              <w:rPr/>
            </w:pPr>
            <w:r>
              <w:rPr>
                <w:rStyle w:val="StrongEmphasis"/>
              </w:rPr>
              <w:t>December 31,</w:t>
            </w:r>
          </w:p>
        </w:tc>
      </w:tr>
      <w:tr>
        <w:trPr/>
        <w:tc>
          <w:tcPr>
            <w:tcW w:w="4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4036" w:type="dxa"/>
            <w:tcBorders/>
            <w:vAlign w:val="center"/>
          </w:tcPr>
          <w:p>
            <w:pPr>
              <w:pStyle w:val="TableContents"/>
              <w:bidi w:val="0"/>
              <w:spacing w:before="0" w:after="283"/>
              <w:jc w:val="center"/>
              <w:rPr>
                <w:u w:val="single"/>
              </w:rPr>
            </w:pPr>
            <w:r>
              <w:rPr>
                <w:u w:val="single"/>
              </w:rPr>
              <w:t>ASSETS</w:t>
            </w:r>
          </w:p>
        </w:tc>
        <w:tc>
          <w:tcPr>
            <w:tcW w:w="146" w:type="dxa"/>
            <w:tcBorders/>
            <w:vAlign w:val="center"/>
          </w:tcPr>
          <w:p>
            <w:pPr>
              <w:pStyle w:val="TableContents"/>
              <w:bidi w:val="0"/>
              <w:spacing w:before="0" w:after="283"/>
              <w:jc w:val="left"/>
              <w:rPr/>
            </w:pPr>
            <w:r>
              <w:rPr/>
              <w:t> </w:t>
            </w:r>
          </w:p>
        </w:tc>
        <w:tc>
          <w:tcPr>
            <w:tcW w:w="1585" w:type="dxa"/>
            <w:gridSpan w:val="5"/>
            <w:tcBorders/>
            <w:vAlign w:val="center"/>
          </w:tcPr>
          <w:p>
            <w:pPr>
              <w:pStyle w:val="TableContents"/>
              <w:bidi w:val="0"/>
              <w:spacing w:before="0" w:after="283"/>
              <w:jc w:val="center"/>
              <w:rPr/>
            </w:pPr>
            <w:r>
              <w:rPr>
                <w:rStyle w:val="StrongEmphasis"/>
              </w:rPr>
              <w:t>(Unaudited)</w:t>
            </w:r>
          </w:p>
        </w:tc>
        <w:tc>
          <w:tcPr>
            <w:tcW w:w="1545" w:type="dxa"/>
            <w:gridSpan w:val="3"/>
            <w:tcBorders/>
            <w:vAlign w:val="center"/>
          </w:tcPr>
          <w:p>
            <w:pPr>
              <w:pStyle w:val="TableContents"/>
              <w:bidi w:val="0"/>
              <w:spacing w:before="0" w:after="283"/>
              <w:jc w:val="center"/>
              <w:rPr/>
            </w:pPr>
            <w:r>
              <w:rPr>
                <w:rStyle w:val="StrongEmphasis"/>
              </w:rPr>
              <w:t>(Audited)</w:t>
            </w:r>
          </w:p>
        </w:tc>
      </w:tr>
      <w:tr>
        <w:trPr/>
        <w:tc>
          <w:tcPr>
            <w:tcW w:w="4036" w:type="dxa"/>
            <w:tcBorders/>
            <w:vAlign w:val="center"/>
          </w:tcPr>
          <w:p>
            <w:pPr>
              <w:pStyle w:val="TableContents"/>
              <w:bidi w:val="0"/>
              <w:spacing w:before="0" w:after="283"/>
              <w:jc w:val="left"/>
              <w:rPr/>
            </w:pPr>
            <w:r>
              <w:rPr/>
              <w:t>Current Assets</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62,108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w:t>
            </w:r>
          </w:p>
        </w:tc>
        <w:tc>
          <w:tcPr>
            <w:tcW w:w="1023" w:type="dxa"/>
            <w:tcBorders/>
            <w:vAlign w:val="center"/>
          </w:tcPr>
          <w:p>
            <w:pPr>
              <w:pStyle w:val="TableContents"/>
              <w:bidi w:val="0"/>
              <w:spacing w:before="0" w:after="283"/>
              <w:jc w:val="right"/>
              <w:rPr/>
            </w:pPr>
            <w:r>
              <w:rPr/>
              <w:t>67,700</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Restricted cash</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251</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Trade receivables,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7,032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4,111</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Inventory</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7,310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6,523</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Other current financial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1,432</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Other current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3,663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3,807</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81,424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83,824</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left"/>
              <w:rPr/>
            </w:pPr>
            <w:r>
              <w:rPr/>
              <w:t>Non-Current Assets</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5" w:type="dxa"/>
            <w:gridSpan w:val="3"/>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System components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2,073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1,584</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Leased systems, net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5,153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4,860</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Other property and equipment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788</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Right-of-use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5,294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5,548</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Other long-term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2,163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1,931</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Other non-current financial assets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25,000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14,656</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40,551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29,367</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121,975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2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113,191</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vAlign w:val="center"/>
          </w:tcPr>
          <w:p>
            <w:pPr>
              <w:pStyle w:val="TableContents"/>
              <w:bidi w:val="0"/>
              <w:spacing w:before="0" w:after="283"/>
              <w:jc w:val="center"/>
              <w:rPr>
                <w:u w:val="single"/>
              </w:rPr>
            </w:pPr>
            <w:r>
              <w:rPr>
                <w:u w:val="single"/>
              </w:rPr>
              <w:t>LIABILITIES AND EQUITY</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vAlign w:val="center"/>
          </w:tcPr>
          <w:p>
            <w:pPr>
              <w:pStyle w:val="TableContents"/>
              <w:bidi w:val="0"/>
              <w:spacing w:before="0" w:after="283"/>
              <w:jc w:val="left"/>
              <w:rPr/>
            </w:pPr>
            <w:r>
              <w:rPr/>
              <w:t>Current Liabilities</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Trade payables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2,503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w:t>
            </w:r>
          </w:p>
        </w:tc>
        <w:tc>
          <w:tcPr>
            <w:tcW w:w="1023" w:type="dxa"/>
            <w:tcBorders/>
            <w:vAlign w:val="center"/>
          </w:tcPr>
          <w:p>
            <w:pPr>
              <w:pStyle w:val="TableContents"/>
              <w:bidi w:val="0"/>
              <w:spacing w:before="0" w:after="283"/>
              <w:jc w:val="right"/>
              <w:rPr/>
            </w:pPr>
            <w:r>
              <w:rPr/>
              <w:t>2,428</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Deferred revenues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10,232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10,551</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Liability in respect of development grants</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1,854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1,679</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Current maturities of lease liabilities</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1,239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1,075</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Other accounts payable</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6,845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6,762</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22,673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22,495</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left"/>
              <w:rPr/>
            </w:pPr>
            <w:r>
              <w:rPr/>
              <w:t>Non-Current Liabilities</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Deferred revenues</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9,826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6,762</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Liability in respect of development grants</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4,393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5,029</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Lease liabilities</w:t>
            </w:r>
          </w:p>
        </w:tc>
        <w:tc>
          <w:tcPr>
            <w:tcW w:w="146"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5,894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5,742</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20,113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17,533</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vAlign w:val="center"/>
          </w:tcPr>
          <w:p>
            <w:pPr>
              <w:pStyle w:val="TableContents"/>
              <w:bidi w:val="0"/>
              <w:spacing w:before="0" w:after="283"/>
              <w:jc w:val="left"/>
              <w:rPr/>
            </w:pPr>
            <w:r>
              <w:rPr/>
              <w:t>Equity</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Share capital</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430</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Share premium</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164,187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162,221</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Reserve for share-based payment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2,556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3,506</w:t>
            </w:r>
          </w:p>
        </w:tc>
        <w:tc>
          <w:tcPr>
            <w:tcW w:w="261" w:type="dxa"/>
            <w:tcBorders/>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Currency Translation Adjustments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(2,188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(2,188</w:t>
            </w:r>
          </w:p>
        </w:tc>
        <w:tc>
          <w:tcPr>
            <w:tcW w:w="261" w:type="dxa"/>
            <w:tcBorders/>
            <w:vAlign w:val="center"/>
          </w:tcPr>
          <w:p>
            <w:pPr>
              <w:pStyle w:val="TableContents"/>
              <w:bidi w:val="0"/>
              <w:spacing w:before="0" w:after="283"/>
              <w:jc w:val="left"/>
              <w:rPr/>
            </w:pPr>
            <w:r>
              <w:rPr/>
              <w:t>)</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(85,806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1023" w:type="dxa"/>
            <w:tcBorders/>
            <w:vAlign w:val="center"/>
          </w:tcPr>
          <w:p>
            <w:pPr>
              <w:pStyle w:val="TableContents"/>
              <w:bidi w:val="0"/>
              <w:spacing w:before="0" w:after="283"/>
              <w:jc w:val="right"/>
              <w:rPr/>
            </w:pPr>
            <w:r>
              <w:rPr/>
              <w:t>(90,806</w:t>
            </w:r>
          </w:p>
        </w:tc>
        <w:tc>
          <w:tcPr>
            <w:tcW w:w="261" w:type="dxa"/>
            <w:tcBorders/>
            <w:vAlign w:val="center"/>
          </w:tcPr>
          <w:p>
            <w:pPr>
              <w:pStyle w:val="TableContents"/>
              <w:bidi w:val="0"/>
              <w:spacing w:before="0" w:after="283"/>
              <w:jc w:val="left"/>
              <w:rPr/>
            </w:pPr>
            <w:r>
              <w:rPr/>
              <w:t>)</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79,189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73,163</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r>
        <w:trPr/>
        <w:tc>
          <w:tcPr>
            <w:tcW w:w="4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121,975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2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113,191</w:t>
            </w:r>
          </w:p>
        </w:tc>
        <w:tc>
          <w:tcPr>
            <w:tcW w:w="26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5" w:type="dxa"/>
            <w:gridSpan w:val="3"/>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301"/>
        <w:gridCol w:w="146"/>
        <w:gridCol w:w="358"/>
        <w:gridCol w:w="1214"/>
        <w:gridCol w:w="231"/>
        <w:gridCol w:w="358"/>
        <w:gridCol w:w="1214"/>
        <w:gridCol w:w="146"/>
        <w:gridCol w:w="336"/>
        <w:gridCol w:w="1139"/>
        <w:gridCol w:w="216"/>
        <w:gridCol w:w="336"/>
        <w:gridCol w:w="1210"/>
      </w:tblGrid>
      <w:tr>
        <w:trPr/>
        <w:tc>
          <w:tcPr>
            <w:tcW w:w="10205" w:type="dxa"/>
            <w:gridSpan w:val="13"/>
            <w:tcBorders/>
            <w:vAlign w:val="center"/>
          </w:tcPr>
          <w:p>
            <w:pPr>
              <w:pStyle w:val="TableContents"/>
              <w:bidi w:val="0"/>
              <w:spacing w:before="0" w:after="283"/>
              <w:jc w:val="center"/>
              <w:rPr/>
            </w:pPr>
            <w:r>
              <w:rPr>
                <w:rStyle w:val="StrongEmphasis"/>
              </w:rPr>
              <w:t>BRAINSWAY LTD. AND SUBSIDIARIES</w:t>
            </w:r>
          </w:p>
        </w:tc>
      </w:tr>
      <w:tr>
        <w:trPr/>
        <w:tc>
          <w:tcPr>
            <w:tcW w:w="10205" w:type="dxa"/>
            <w:gridSpan w:val="13"/>
            <w:tcBorders/>
            <w:vAlign w:val="center"/>
          </w:tcPr>
          <w:p>
            <w:pPr>
              <w:pStyle w:val="TableContents"/>
              <w:bidi w:val="0"/>
              <w:spacing w:before="0" w:after="283"/>
              <w:jc w:val="center"/>
              <w:rPr/>
            </w:pPr>
            <w:r>
              <w:rPr>
                <w:rStyle w:val="StrongEmphasis"/>
              </w:rPr>
              <w:t>CONSOLIDATED STATEMENTS OF PROFIT OR LOSS</w:t>
            </w:r>
          </w:p>
        </w:tc>
      </w:tr>
      <w:tr>
        <w:trPr/>
        <w:tc>
          <w:tcPr>
            <w:tcW w:w="10205" w:type="dxa"/>
            <w:gridSpan w:val="13"/>
            <w:tcBorders/>
            <w:vAlign w:val="center"/>
          </w:tcPr>
          <w:p>
            <w:pPr>
              <w:pStyle w:val="TableContents"/>
              <w:bidi w:val="0"/>
              <w:spacing w:before="0" w:after="283"/>
              <w:jc w:val="center"/>
              <w:rPr/>
            </w:pPr>
            <w:r>
              <w:rPr>
                <w:rStyle w:val="StrongEmphasis"/>
              </w:rPr>
              <w:t>U.S. dollars in thousands (except per share data)</w:t>
            </w:r>
          </w:p>
        </w:tc>
      </w:tr>
      <w:tr>
        <w:trPr/>
        <w:tc>
          <w:tcPr>
            <w:tcW w:w="33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572" w:type="dxa"/>
            <w:gridSpan w:val="2"/>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5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left"/>
              <w:rPr/>
            </w:pPr>
            <w:r>
              <w:rPr/>
              <w:t> </w:t>
            </w:r>
          </w:p>
        </w:tc>
      </w:tr>
      <w:tr>
        <w:trPr/>
        <w:tc>
          <w:tcPr>
            <w:tcW w:w="3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375"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 months ended June 30,</w:t>
            </w:r>
          </w:p>
        </w:tc>
        <w:tc>
          <w:tcPr>
            <w:tcW w:w="146" w:type="dxa"/>
            <w:tcBorders/>
            <w:vAlign w:val="center"/>
          </w:tcPr>
          <w:p>
            <w:pPr>
              <w:pStyle w:val="TableContents"/>
              <w:bidi w:val="0"/>
              <w:spacing w:before="0" w:after="283"/>
              <w:jc w:val="center"/>
              <w:rPr/>
            </w:pPr>
            <w:r>
              <w:rPr/>
              <w:t> </w:t>
            </w:r>
          </w:p>
        </w:tc>
        <w:tc>
          <w:tcPr>
            <w:tcW w:w="3237"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six months ended June 30,</w:t>
            </w:r>
          </w:p>
        </w:tc>
      </w:tr>
      <w:tr>
        <w:trPr/>
        <w:tc>
          <w:tcPr>
            <w:tcW w:w="3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7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57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475"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1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54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3375" w:type="dxa"/>
            <w:gridSpan w:val="5"/>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center"/>
              <w:rPr/>
            </w:pPr>
            <w:r>
              <w:rPr/>
              <w:t> </w:t>
            </w:r>
          </w:p>
        </w:tc>
        <w:tc>
          <w:tcPr>
            <w:tcW w:w="3237" w:type="dxa"/>
            <w:gridSpan w:val="5"/>
            <w:tcBorders/>
            <w:vAlign w:val="center"/>
          </w:tcPr>
          <w:p>
            <w:pPr>
              <w:pStyle w:val="TableContents"/>
              <w:bidi w:val="0"/>
              <w:spacing w:before="0" w:after="283"/>
              <w:jc w:val="center"/>
              <w:rPr/>
            </w:pPr>
            <w:r>
              <w:rPr>
                <w:rStyle w:val="StrongEmphasis"/>
              </w:rPr>
              <w:t>(Unaudited)</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Revenues</w:t>
            </w:r>
          </w:p>
        </w:tc>
        <w:tc>
          <w:tcPr>
            <w:tcW w:w="146"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w:t>
            </w:r>
          </w:p>
        </w:tc>
        <w:tc>
          <w:tcPr>
            <w:tcW w:w="1214" w:type="dxa"/>
            <w:tcBorders/>
            <w:vAlign w:val="center"/>
          </w:tcPr>
          <w:p>
            <w:pPr>
              <w:pStyle w:val="TableContents"/>
              <w:bidi w:val="0"/>
              <w:spacing w:before="0" w:after="283"/>
              <w:jc w:val="right"/>
              <w:rPr/>
            </w:pPr>
            <w:r>
              <w:rPr/>
              <w:t>17,107</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w:t>
            </w:r>
          </w:p>
        </w:tc>
        <w:tc>
          <w:tcPr>
            <w:tcW w:w="1214" w:type="dxa"/>
            <w:tcBorders/>
            <w:vAlign w:val="center"/>
          </w:tcPr>
          <w:p>
            <w:pPr>
              <w:pStyle w:val="TableContents"/>
              <w:bidi w:val="0"/>
              <w:spacing w:before="0" w:after="283"/>
              <w:jc w:val="right"/>
              <w:rPr/>
            </w:pPr>
            <w:r>
              <w:rPr/>
              <w:t>12,632</w:t>
            </w:r>
          </w:p>
        </w:tc>
        <w:tc>
          <w:tcPr>
            <w:tcW w:w="146" w:type="dxa"/>
            <w:tcBorders/>
            <w:vAlign w:val="center"/>
          </w:tcPr>
          <w:p>
            <w:pPr>
              <w:pStyle w:val="TableContents"/>
              <w:bidi w:val="0"/>
              <w:spacing w:before="0" w:after="283"/>
              <w:jc w:val="center"/>
              <w:rPr/>
            </w:pPr>
            <w:r>
              <w:rPr/>
              <w:t> </w:t>
            </w:r>
          </w:p>
        </w:tc>
        <w:tc>
          <w:tcPr>
            <w:tcW w:w="336" w:type="dxa"/>
            <w:tcBorders/>
            <w:vAlign w:val="center"/>
          </w:tcPr>
          <w:p>
            <w:pPr>
              <w:pStyle w:val="TableContents"/>
              <w:bidi w:val="0"/>
              <w:spacing w:before="0" w:after="283"/>
              <w:jc w:val="right"/>
              <w:rPr/>
            </w:pPr>
            <w:r>
              <w:rPr/>
              <w:t>$</w:t>
            </w:r>
          </w:p>
        </w:tc>
        <w:tc>
          <w:tcPr>
            <w:tcW w:w="1139" w:type="dxa"/>
            <w:tcBorders/>
            <w:vAlign w:val="center"/>
          </w:tcPr>
          <w:p>
            <w:pPr>
              <w:pStyle w:val="TableContents"/>
              <w:bidi w:val="0"/>
              <w:spacing w:before="0" w:after="283"/>
              <w:jc w:val="right"/>
              <w:rPr/>
            </w:pPr>
            <w:r>
              <w:rPr/>
              <w:t>32,638</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w:t>
            </w:r>
          </w:p>
        </w:tc>
        <w:tc>
          <w:tcPr>
            <w:tcW w:w="1210" w:type="dxa"/>
            <w:tcBorders/>
            <w:vAlign w:val="center"/>
          </w:tcPr>
          <w:p>
            <w:pPr>
              <w:pStyle w:val="TableContents"/>
              <w:bidi w:val="0"/>
              <w:spacing w:before="0" w:after="283"/>
              <w:jc w:val="right"/>
              <w:rPr/>
            </w:pPr>
            <w:r>
              <w:rPr/>
              <w:t>24,168</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Cost of revenues</w:t>
            </w:r>
          </w:p>
        </w:tc>
        <w:tc>
          <w:tcPr>
            <w:tcW w:w="146"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4,341</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3,133</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8,197</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1210" w:type="dxa"/>
            <w:tcBorders/>
            <w:vAlign w:val="center"/>
          </w:tcPr>
          <w:p>
            <w:pPr>
              <w:pStyle w:val="TableContents"/>
              <w:bidi w:val="0"/>
              <w:spacing w:before="0" w:after="283"/>
              <w:jc w:val="right"/>
              <w:rPr/>
            </w:pPr>
            <w:r>
              <w:rPr/>
              <w:t>6,059</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Gross profit</w:t>
            </w:r>
          </w:p>
        </w:tc>
        <w:tc>
          <w:tcPr>
            <w:tcW w:w="146" w:type="dxa"/>
            <w:tcBorders/>
            <w:vAlign w:val="center"/>
          </w:tcPr>
          <w:p>
            <w:pPr>
              <w:pStyle w:val="TableContents"/>
              <w:bidi w:val="0"/>
              <w:spacing w:before="0" w:after="283"/>
              <w:jc w:val="right"/>
              <w:rPr/>
            </w:pPr>
            <w:r>
              <w:rPr/>
              <w:t> </w:t>
            </w:r>
          </w:p>
        </w:tc>
        <w:tc>
          <w:tcPr>
            <w:tcW w:w="3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2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12,766</w:t>
            </w:r>
          </w:p>
        </w:tc>
        <w:tc>
          <w:tcPr>
            <w:tcW w:w="231" w:type="dxa"/>
            <w:tcBorders/>
            <w:vAlign w:val="center"/>
          </w:tcPr>
          <w:p>
            <w:pPr>
              <w:pStyle w:val="TableContents"/>
              <w:bidi w:val="0"/>
              <w:spacing w:before="0" w:after="283"/>
              <w:jc w:val="right"/>
              <w:rPr/>
            </w:pPr>
            <w:r>
              <w:rPr/>
              <w:t> </w:t>
            </w:r>
          </w:p>
        </w:tc>
        <w:tc>
          <w:tcPr>
            <w:tcW w:w="3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2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9,499</w:t>
            </w:r>
          </w:p>
        </w:tc>
        <w:tc>
          <w:tcPr>
            <w:tcW w:w="146" w:type="dxa"/>
            <w:tcBorders/>
            <w:vAlign w:val="center"/>
          </w:tcPr>
          <w:p>
            <w:pPr>
              <w:pStyle w:val="TableContents"/>
              <w:bidi w:val="0"/>
              <w:spacing w:before="0" w:after="283"/>
              <w:jc w:val="right"/>
              <w:rPr/>
            </w:pPr>
            <w:r>
              <w:rPr/>
              <w:t> </w:t>
            </w:r>
          </w:p>
        </w:tc>
        <w:tc>
          <w:tcPr>
            <w:tcW w:w="3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24,441</w:t>
            </w:r>
          </w:p>
        </w:tc>
        <w:tc>
          <w:tcPr>
            <w:tcW w:w="216" w:type="dxa"/>
            <w:tcBorders/>
            <w:vAlign w:val="center"/>
          </w:tcPr>
          <w:p>
            <w:pPr>
              <w:pStyle w:val="TableContents"/>
              <w:bidi w:val="0"/>
              <w:spacing w:before="0" w:after="283"/>
              <w:jc w:val="left"/>
              <w:rPr/>
            </w:pPr>
            <w:r>
              <w:rPr/>
              <w:t> </w:t>
            </w:r>
          </w:p>
        </w:tc>
        <w:tc>
          <w:tcPr>
            <w:tcW w:w="3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2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18,109</w:t>
            </w:r>
          </w:p>
        </w:tc>
      </w:tr>
      <w:tr>
        <w:trPr/>
        <w:tc>
          <w:tcPr>
            <w:tcW w:w="3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75" w:type="dxa"/>
            <w:gridSpan w:val="2"/>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left"/>
              <w:rPr/>
            </w:pPr>
            <w:r>
              <w:rPr/>
              <w:t> </w:t>
            </w:r>
          </w:p>
        </w:tc>
      </w:tr>
      <w:tr>
        <w:trPr/>
        <w:tc>
          <w:tcPr>
            <w:tcW w:w="3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75" w:type="dxa"/>
            <w:gridSpan w:val="2"/>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left"/>
              <w:rPr/>
            </w:pPr>
            <w:r>
              <w:rPr/>
              <w:t> </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Research and development expenses, net</w:t>
            </w:r>
          </w:p>
        </w:tc>
        <w:tc>
          <w:tcPr>
            <w:tcW w:w="146"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3,219</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2,344</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6,100</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1210" w:type="dxa"/>
            <w:tcBorders/>
            <w:vAlign w:val="center"/>
          </w:tcPr>
          <w:p>
            <w:pPr>
              <w:pStyle w:val="TableContents"/>
              <w:bidi w:val="0"/>
              <w:spacing w:before="0" w:after="283"/>
              <w:jc w:val="right"/>
              <w:rPr/>
            </w:pPr>
            <w:r>
              <w:rPr/>
              <w:t>4,676</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Selling and marketing expenses</w:t>
            </w:r>
          </w:p>
        </w:tc>
        <w:tc>
          <w:tcPr>
            <w:tcW w:w="146"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4,852</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4,940</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9,782</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1210" w:type="dxa"/>
            <w:tcBorders/>
            <w:vAlign w:val="center"/>
          </w:tcPr>
          <w:p>
            <w:pPr>
              <w:pStyle w:val="TableContents"/>
              <w:bidi w:val="0"/>
              <w:spacing w:before="0" w:after="283"/>
              <w:jc w:val="right"/>
              <w:rPr/>
            </w:pPr>
            <w:r>
              <w:rPr/>
              <w:t>9,102</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center"/>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2,304</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1,637</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4,163</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1210" w:type="dxa"/>
            <w:tcBorders/>
            <w:vAlign w:val="center"/>
          </w:tcPr>
          <w:p>
            <w:pPr>
              <w:pStyle w:val="TableContents"/>
              <w:bidi w:val="0"/>
              <w:spacing w:before="0" w:after="283"/>
              <w:jc w:val="right"/>
              <w:rPr/>
            </w:pPr>
            <w:r>
              <w:rPr/>
              <w:t>3,177</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Total operating expenses</w:t>
            </w:r>
          </w:p>
        </w:tc>
        <w:tc>
          <w:tcPr>
            <w:tcW w:w="146" w:type="dxa"/>
            <w:tcBorders/>
            <w:vAlign w:val="center"/>
          </w:tcPr>
          <w:p>
            <w:pPr>
              <w:pStyle w:val="TableContents"/>
              <w:bidi w:val="0"/>
              <w:spacing w:before="0" w:after="283"/>
              <w:jc w:val="right"/>
              <w:rPr/>
            </w:pPr>
            <w:r>
              <w:rPr/>
              <w:t> </w:t>
            </w:r>
          </w:p>
        </w:tc>
        <w:tc>
          <w:tcPr>
            <w:tcW w:w="3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2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10,375</w:t>
            </w:r>
          </w:p>
        </w:tc>
        <w:tc>
          <w:tcPr>
            <w:tcW w:w="231" w:type="dxa"/>
            <w:tcBorders/>
            <w:vAlign w:val="center"/>
          </w:tcPr>
          <w:p>
            <w:pPr>
              <w:pStyle w:val="TableContents"/>
              <w:bidi w:val="0"/>
              <w:spacing w:before="0" w:after="283"/>
              <w:jc w:val="right"/>
              <w:rPr/>
            </w:pPr>
            <w:r>
              <w:rPr/>
              <w:t> </w:t>
            </w:r>
          </w:p>
        </w:tc>
        <w:tc>
          <w:tcPr>
            <w:tcW w:w="3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2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8,921</w:t>
            </w:r>
          </w:p>
        </w:tc>
        <w:tc>
          <w:tcPr>
            <w:tcW w:w="146" w:type="dxa"/>
            <w:tcBorders/>
            <w:vAlign w:val="center"/>
          </w:tcPr>
          <w:p>
            <w:pPr>
              <w:pStyle w:val="TableContents"/>
              <w:bidi w:val="0"/>
              <w:spacing w:before="0" w:after="283"/>
              <w:jc w:val="right"/>
              <w:rPr/>
            </w:pPr>
            <w:r>
              <w:rPr/>
              <w:t> </w:t>
            </w:r>
          </w:p>
        </w:tc>
        <w:tc>
          <w:tcPr>
            <w:tcW w:w="3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20,045</w:t>
            </w:r>
          </w:p>
        </w:tc>
        <w:tc>
          <w:tcPr>
            <w:tcW w:w="216" w:type="dxa"/>
            <w:tcBorders/>
            <w:vAlign w:val="center"/>
          </w:tcPr>
          <w:p>
            <w:pPr>
              <w:pStyle w:val="TableContents"/>
              <w:bidi w:val="0"/>
              <w:spacing w:before="0" w:after="283"/>
              <w:jc w:val="left"/>
              <w:rPr/>
            </w:pPr>
            <w:r>
              <w:rPr/>
              <w:t> </w:t>
            </w:r>
          </w:p>
        </w:tc>
        <w:tc>
          <w:tcPr>
            <w:tcW w:w="3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2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16,955</w:t>
            </w:r>
          </w:p>
        </w:tc>
      </w:tr>
      <w:tr>
        <w:trPr/>
        <w:tc>
          <w:tcPr>
            <w:tcW w:w="3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75" w:type="dxa"/>
            <w:gridSpan w:val="2"/>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left"/>
              <w:rPr/>
            </w:pPr>
            <w:r>
              <w:rPr/>
              <w:t> </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Operating Income</w:t>
            </w:r>
          </w:p>
        </w:tc>
        <w:tc>
          <w:tcPr>
            <w:tcW w:w="146"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2,391</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578</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4,396</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1210" w:type="dxa"/>
            <w:tcBorders/>
            <w:vAlign w:val="center"/>
          </w:tcPr>
          <w:p>
            <w:pPr>
              <w:pStyle w:val="TableContents"/>
              <w:bidi w:val="0"/>
              <w:spacing w:before="0" w:after="283"/>
              <w:jc w:val="right"/>
              <w:rPr/>
            </w:pPr>
            <w:r>
              <w:rPr/>
              <w:t>1,154</w:t>
            </w:r>
          </w:p>
        </w:tc>
      </w:tr>
      <w:tr>
        <w:trPr/>
        <w:tc>
          <w:tcPr>
            <w:tcW w:w="3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75" w:type="dxa"/>
            <w:gridSpan w:val="2"/>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right"/>
              <w:rPr/>
            </w:pPr>
            <w:r>
              <w:rPr/>
              <w:t> </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Finance income</w:t>
            </w:r>
          </w:p>
        </w:tc>
        <w:tc>
          <w:tcPr>
            <w:tcW w:w="146"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1,406</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2,303</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2,130</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1210" w:type="dxa"/>
            <w:tcBorders/>
            <w:vAlign w:val="center"/>
          </w:tcPr>
          <w:p>
            <w:pPr>
              <w:pStyle w:val="TableContents"/>
              <w:bidi w:val="0"/>
              <w:spacing w:before="0" w:after="283"/>
              <w:jc w:val="right"/>
              <w:rPr/>
            </w:pPr>
            <w:r>
              <w:rPr/>
              <w:t>3,414</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Finance Expense</w:t>
            </w:r>
          </w:p>
        </w:tc>
        <w:tc>
          <w:tcPr>
            <w:tcW w:w="146"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879</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784</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1,198</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1210" w:type="dxa"/>
            <w:tcBorders/>
            <w:vAlign w:val="center"/>
          </w:tcPr>
          <w:p>
            <w:pPr>
              <w:pStyle w:val="TableContents"/>
              <w:bidi w:val="0"/>
              <w:spacing w:before="0" w:after="283"/>
              <w:jc w:val="right"/>
              <w:rPr/>
            </w:pPr>
            <w:r>
              <w:rPr/>
              <w:t>1,207</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Income before taxes on income</w:t>
            </w:r>
          </w:p>
        </w:tc>
        <w:tc>
          <w:tcPr>
            <w:tcW w:w="146" w:type="dxa"/>
            <w:tcBorders/>
            <w:vAlign w:val="center"/>
          </w:tcPr>
          <w:p>
            <w:pPr>
              <w:pStyle w:val="TableContents"/>
              <w:bidi w:val="0"/>
              <w:spacing w:before="0" w:after="283"/>
              <w:jc w:val="right"/>
              <w:rPr/>
            </w:pPr>
            <w:r>
              <w:rPr/>
              <w:t> </w:t>
            </w:r>
          </w:p>
        </w:tc>
        <w:tc>
          <w:tcPr>
            <w:tcW w:w="35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1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2,918</w:t>
            </w:r>
          </w:p>
        </w:tc>
        <w:tc>
          <w:tcPr>
            <w:tcW w:w="231" w:type="dxa"/>
            <w:tcBorders/>
            <w:vAlign w:val="center"/>
          </w:tcPr>
          <w:p>
            <w:pPr>
              <w:pStyle w:val="TableContents"/>
              <w:bidi w:val="0"/>
              <w:spacing w:before="0" w:after="283"/>
              <w:jc w:val="right"/>
              <w:rPr/>
            </w:pPr>
            <w:r>
              <w:rPr/>
              <w:t> </w:t>
            </w:r>
          </w:p>
        </w:tc>
        <w:tc>
          <w:tcPr>
            <w:tcW w:w="35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1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2,097</w:t>
            </w:r>
          </w:p>
        </w:tc>
        <w:tc>
          <w:tcPr>
            <w:tcW w:w="146" w:type="dxa"/>
            <w:tcBorders/>
            <w:vAlign w:val="center"/>
          </w:tcPr>
          <w:p>
            <w:pPr>
              <w:pStyle w:val="TableContents"/>
              <w:bidi w:val="0"/>
              <w:spacing w:before="0" w:after="283"/>
              <w:jc w:val="right"/>
              <w:rPr/>
            </w:pPr>
            <w:r>
              <w:rPr/>
              <w:t> </w:t>
            </w:r>
          </w:p>
        </w:tc>
        <w:tc>
          <w:tcPr>
            <w:tcW w:w="3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3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5,328</w:t>
            </w:r>
          </w:p>
        </w:tc>
        <w:tc>
          <w:tcPr>
            <w:tcW w:w="216" w:type="dxa"/>
            <w:tcBorders/>
            <w:vAlign w:val="center"/>
          </w:tcPr>
          <w:p>
            <w:pPr>
              <w:pStyle w:val="TableContents"/>
              <w:bidi w:val="0"/>
              <w:spacing w:before="0" w:after="283"/>
              <w:jc w:val="left"/>
              <w:rPr/>
            </w:pPr>
            <w:r>
              <w:rPr/>
              <w:t> </w:t>
            </w:r>
          </w:p>
        </w:tc>
        <w:tc>
          <w:tcPr>
            <w:tcW w:w="3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21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3,361</w:t>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Taxes on income</w:t>
            </w:r>
          </w:p>
        </w:tc>
        <w:tc>
          <w:tcPr>
            <w:tcW w:w="146"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208</w:t>
            </w:r>
          </w:p>
        </w:tc>
        <w:tc>
          <w:tcPr>
            <w:tcW w:w="231"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70</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328</w:t>
            </w:r>
          </w:p>
        </w:tc>
        <w:tc>
          <w:tcPr>
            <w:tcW w:w="216"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right"/>
              <w:rPr/>
            </w:pPr>
            <w:r>
              <w:rPr/>
              <w:t> </w:t>
            </w:r>
          </w:p>
        </w:tc>
        <w:tc>
          <w:tcPr>
            <w:tcW w:w="1210" w:type="dxa"/>
            <w:tcBorders/>
            <w:vAlign w:val="center"/>
          </w:tcPr>
          <w:p>
            <w:pPr>
              <w:pStyle w:val="TableContents"/>
              <w:bidi w:val="0"/>
              <w:spacing w:before="0" w:after="283"/>
              <w:jc w:val="right"/>
              <w:rPr/>
            </w:pPr>
            <w:r>
              <w:rPr/>
              <w:t>227</w:t>
            </w:r>
          </w:p>
        </w:tc>
      </w:tr>
      <w:tr>
        <w:trPr/>
        <w:tc>
          <w:tcPr>
            <w:tcW w:w="3301" w:type="dxa"/>
            <w:tcBorders/>
            <w:vAlign w:val="center"/>
          </w:tcPr>
          <w:p>
            <w:pPr>
              <w:pStyle w:val="TableContents"/>
              <w:bidi w:val="0"/>
              <w:spacing w:before="0" w:after="283"/>
              <w:jc w:val="left"/>
              <w:rPr/>
            </w:pPr>
            <w:r>
              <w:rPr/>
              <w:t>Net income</w:t>
            </w:r>
          </w:p>
        </w:tc>
        <w:tc>
          <w:tcPr>
            <w:tcW w:w="146" w:type="dxa"/>
            <w:tcBorders/>
            <w:vAlign w:val="center"/>
          </w:tcPr>
          <w:p>
            <w:pPr>
              <w:pStyle w:val="TableContents"/>
              <w:bidi w:val="0"/>
              <w:spacing w:before="0" w:after="283"/>
              <w:jc w:val="right"/>
              <w:rPr/>
            </w:pPr>
            <w:r>
              <w:rPr/>
              <w:t> </w:t>
            </w:r>
          </w:p>
        </w:tc>
        <w:tc>
          <w:tcPr>
            <w:tcW w:w="35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21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2,710</w:t>
            </w:r>
          </w:p>
        </w:tc>
        <w:tc>
          <w:tcPr>
            <w:tcW w:w="231" w:type="dxa"/>
            <w:tcBorders/>
            <w:vAlign w:val="center"/>
          </w:tcPr>
          <w:p>
            <w:pPr>
              <w:pStyle w:val="TableContents"/>
              <w:bidi w:val="0"/>
              <w:spacing w:before="0" w:after="283"/>
              <w:jc w:val="right"/>
              <w:rPr/>
            </w:pPr>
            <w:r>
              <w:rPr/>
              <w:t> </w:t>
            </w:r>
          </w:p>
        </w:tc>
        <w:tc>
          <w:tcPr>
            <w:tcW w:w="35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21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2,027</w:t>
            </w:r>
          </w:p>
        </w:tc>
        <w:tc>
          <w:tcPr>
            <w:tcW w:w="146" w:type="dxa"/>
            <w:tcBorders/>
            <w:vAlign w:val="center"/>
          </w:tcPr>
          <w:p>
            <w:pPr>
              <w:pStyle w:val="TableContents"/>
              <w:bidi w:val="0"/>
              <w:spacing w:before="0" w:after="283"/>
              <w:jc w:val="right"/>
              <w:rPr/>
            </w:pPr>
            <w:r>
              <w:rPr/>
              <w:t> </w:t>
            </w:r>
          </w:p>
        </w:tc>
        <w:tc>
          <w:tcPr>
            <w:tcW w:w="3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5,000</w:t>
            </w:r>
          </w:p>
        </w:tc>
        <w:tc>
          <w:tcPr>
            <w:tcW w:w="216" w:type="dxa"/>
            <w:tcBorders/>
            <w:vAlign w:val="center"/>
          </w:tcPr>
          <w:p>
            <w:pPr>
              <w:pStyle w:val="TableContents"/>
              <w:bidi w:val="0"/>
              <w:spacing w:before="0" w:after="283"/>
              <w:jc w:val="left"/>
              <w:rPr/>
            </w:pPr>
            <w:r>
              <w:rPr/>
              <w:t> </w:t>
            </w:r>
          </w:p>
        </w:tc>
        <w:tc>
          <w:tcPr>
            <w:tcW w:w="3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21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3,134</w:t>
            </w:r>
          </w:p>
        </w:tc>
      </w:tr>
      <w:tr>
        <w:trPr/>
        <w:tc>
          <w:tcPr>
            <w:tcW w:w="3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75" w:type="dxa"/>
            <w:gridSpan w:val="2"/>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right"/>
              <w:rPr/>
            </w:pPr>
            <w:r>
              <w:rPr/>
              <w:t> </w:t>
            </w:r>
          </w:p>
        </w:tc>
      </w:tr>
      <w:tr>
        <w:trPr/>
        <w:tc>
          <w:tcPr>
            <w:tcW w:w="3301" w:type="dxa"/>
            <w:tcBorders/>
            <w:vAlign w:val="center"/>
          </w:tcPr>
          <w:p>
            <w:pPr>
              <w:pStyle w:val="TableContents"/>
              <w:bidi w:val="0"/>
              <w:spacing w:before="0" w:after="283"/>
              <w:jc w:val="left"/>
              <w:rPr/>
            </w:pPr>
            <w:r>
              <w:rPr/>
              <w:t>Basic net income per share</w:t>
            </w:r>
          </w:p>
        </w:tc>
        <w:tc>
          <w:tcPr>
            <w:tcW w:w="146" w:type="dxa"/>
            <w:tcBorders/>
            <w:vAlign w:val="center"/>
          </w:tcPr>
          <w:p>
            <w:pPr>
              <w:pStyle w:val="TableContents"/>
              <w:bidi w:val="0"/>
              <w:spacing w:before="0" w:after="283"/>
              <w:jc w:val="left"/>
              <w:rPr/>
            </w:pPr>
            <w:r>
              <w:rPr/>
              <w:t> </w:t>
            </w:r>
          </w:p>
        </w:tc>
        <w:tc>
          <w:tcPr>
            <w:tcW w:w="35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0.07</w:t>
            </w:r>
          </w:p>
        </w:tc>
        <w:tc>
          <w:tcPr>
            <w:tcW w:w="231" w:type="dxa"/>
            <w:tcBorders/>
            <w:vAlign w:val="center"/>
          </w:tcPr>
          <w:p>
            <w:pPr>
              <w:pStyle w:val="TableContents"/>
              <w:bidi w:val="0"/>
              <w:spacing w:before="0" w:after="283"/>
              <w:jc w:val="right"/>
              <w:rPr/>
            </w:pPr>
            <w:r>
              <w:rPr/>
              <w:t> </w:t>
            </w:r>
          </w:p>
        </w:tc>
        <w:tc>
          <w:tcPr>
            <w:tcW w:w="35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0.05</w:t>
            </w:r>
          </w:p>
        </w:tc>
        <w:tc>
          <w:tcPr>
            <w:tcW w:w="146" w:type="dxa"/>
            <w:tcBorders/>
            <w:vAlign w:val="center"/>
          </w:tcPr>
          <w:p>
            <w:pPr>
              <w:pStyle w:val="TableContents"/>
              <w:bidi w:val="0"/>
              <w:spacing w:before="0" w:after="283"/>
              <w:jc w:val="right"/>
              <w:rPr/>
            </w:pPr>
            <w:r>
              <w:rPr/>
              <w:t> </w:t>
            </w:r>
          </w:p>
        </w:tc>
        <w:tc>
          <w:tcPr>
            <w:tcW w:w="3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3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0.13</w:t>
            </w:r>
          </w:p>
        </w:tc>
        <w:tc>
          <w:tcPr>
            <w:tcW w:w="216" w:type="dxa"/>
            <w:tcBorders/>
            <w:vAlign w:val="center"/>
          </w:tcPr>
          <w:p>
            <w:pPr>
              <w:pStyle w:val="TableContents"/>
              <w:bidi w:val="0"/>
              <w:spacing w:before="0" w:after="283"/>
              <w:jc w:val="left"/>
              <w:rPr/>
            </w:pPr>
            <w:r>
              <w:rPr/>
              <w:t> </w:t>
            </w:r>
          </w:p>
        </w:tc>
        <w:tc>
          <w:tcPr>
            <w:tcW w:w="3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1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0.08</w:t>
            </w:r>
          </w:p>
        </w:tc>
      </w:tr>
      <w:tr>
        <w:trPr/>
        <w:tc>
          <w:tcPr>
            <w:tcW w:w="3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right"/>
              <w:rPr/>
            </w:pPr>
            <w:r>
              <w:rPr/>
              <w:t> </w:t>
            </w:r>
          </w:p>
        </w:tc>
        <w:tc>
          <w:tcPr>
            <w:tcW w:w="1214"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15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right"/>
              <w:rPr/>
            </w:pPr>
            <w:r>
              <w:rPr/>
              <w:t> </w:t>
            </w:r>
          </w:p>
        </w:tc>
        <w:tc>
          <w:tcPr>
            <w:tcW w:w="1139"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left"/>
              <w:rPr/>
            </w:pPr>
            <w:r>
              <w:rPr/>
              <w:t> </w:t>
            </w:r>
          </w:p>
        </w:tc>
      </w:tr>
      <w:tr>
        <w:trPr/>
        <w:tc>
          <w:tcPr>
            <w:tcW w:w="3301" w:type="dxa"/>
            <w:tcBorders/>
            <w:vAlign w:val="center"/>
          </w:tcPr>
          <w:p>
            <w:pPr>
              <w:pStyle w:val="TableContents"/>
              <w:bidi w:val="0"/>
              <w:spacing w:before="0" w:after="283"/>
              <w:jc w:val="left"/>
              <w:rPr/>
            </w:pPr>
            <w:r>
              <w:rPr/>
              <w:t>Diluted net income per share</w:t>
            </w:r>
          </w:p>
        </w:tc>
        <w:tc>
          <w:tcPr>
            <w:tcW w:w="146" w:type="dxa"/>
            <w:tcBorders/>
            <w:vAlign w:val="center"/>
          </w:tcPr>
          <w:p>
            <w:pPr>
              <w:pStyle w:val="TableContents"/>
              <w:bidi w:val="0"/>
              <w:spacing w:before="0" w:after="283"/>
              <w:jc w:val="left"/>
              <w:rPr/>
            </w:pPr>
            <w:r>
              <w:rPr/>
              <w:t> </w:t>
            </w:r>
          </w:p>
        </w:tc>
        <w:tc>
          <w:tcPr>
            <w:tcW w:w="35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0.07</w:t>
            </w:r>
          </w:p>
        </w:tc>
        <w:tc>
          <w:tcPr>
            <w:tcW w:w="231" w:type="dxa"/>
            <w:tcBorders/>
            <w:vAlign w:val="center"/>
          </w:tcPr>
          <w:p>
            <w:pPr>
              <w:pStyle w:val="TableContents"/>
              <w:bidi w:val="0"/>
              <w:spacing w:before="0" w:after="283"/>
              <w:jc w:val="right"/>
              <w:rPr/>
            </w:pPr>
            <w:r>
              <w:rPr/>
              <w:t> </w:t>
            </w:r>
          </w:p>
        </w:tc>
        <w:tc>
          <w:tcPr>
            <w:tcW w:w="35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1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0.05</w:t>
            </w:r>
          </w:p>
        </w:tc>
        <w:tc>
          <w:tcPr>
            <w:tcW w:w="146" w:type="dxa"/>
            <w:tcBorders/>
            <w:vAlign w:val="center"/>
          </w:tcPr>
          <w:p>
            <w:pPr>
              <w:pStyle w:val="TableContents"/>
              <w:bidi w:val="0"/>
              <w:spacing w:before="0" w:after="283"/>
              <w:jc w:val="right"/>
              <w:rPr/>
            </w:pPr>
            <w:r>
              <w:rPr/>
              <w:t> </w:t>
            </w:r>
          </w:p>
        </w:tc>
        <w:tc>
          <w:tcPr>
            <w:tcW w:w="3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3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0.12</w:t>
            </w:r>
          </w:p>
        </w:tc>
        <w:tc>
          <w:tcPr>
            <w:tcW w:w="216" w:type="dxa"/>
            <w:tcBorders/>
            <w:vAlign w:val="center"/>
          </w:tcPr>
          <w:p>
            <w:pPr>
              <w:pStyle w:val="TableContents"/>
              <w:bidi w:val="0"/>
              <w:spacing w:before="0" w:after="283"/>
              <w:jc w:val="left"/>
              <w:rPr/>
            </w:pPr>
            <w:r>
              <w:rPr/>
              <w:t> </w:t>
            </w:r>
          </w:p>
        </w:tc>
        <w:tc>
          <w:tcPr>
            <w:tcW w:w="3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1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0.07</w:t>
            </w:r>
          </w:p>
        </w:tc>
      </w:tr>
      <w:tr>
        <w:trPr/>
        <w:tc>
          <w:tcPr>
            <w:tcW w:w="3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2" w:type="dxa"/>
            <w:gridSpan w:val="2"/>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c>
          <w:tcPr>
            <w:tcW w:w="15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925"/>
        <w:gridCol w:w="270"/>
        <w:gridCol w:w="917"/>
        <w:gridCol w:w="216"/>
        <w:gridCol w:w="174"/>
        <w:gridCol w:w="270"/>
        <w:gridCol w:w="1006"/>
        <w:gridCol w:w="216"/>
        <w:gridCol w:w="146"/>
        <w:gridCol w:w="257"/>
        <w:gridCol w:w="958"/>
        <w:gridCol w:w="206"/>
        <w:gridCol w:w="166"/>
        <w:gridCol w:w="257"/>
        <w:gridCol w:w="958"/>
        <w:gridCol w:w="263"/>
      </w:tblGrid>
      <w:tr>
        <w:trPr/>
        <w:tc>
          <w:tcPr>
            <w:tcW w:w="10205" w:type="dxa"/>
            <w:gridSpan w:val="16"/>
            <w:tcBorders/>
            <w:vAlign w:val="center"/>
          </w:tcPr>
          <w:p>
            <w:pPr>
              <w:pStyle w:val="TableContents"/>
              <w:bidi w:val="0"/>
              <w:spacing w:before="0" w:after="283"/>
              <w:jc w:val="center"/>
              <w:rPr/>
            </w:pPr>
            <w:r>
              <w:rPr>
                <w:rStyle w:val="StrongEmphasis"/>
              </w:rPr>
              <w:t>BRAINSWAY LTD. AND SUBSIDIARIES</w:t>
            </w:r>
          </w:p>
        </w:tc>
      </w:tr>
      <w:tr>
        <w:trPr/>
        <w:tc>
          <w:tcPr>
            <w:tcW w:w="10205" w:type="dxa"/>
            <w:gridSpan w:val="16"/>
            <w:tcBorders/>
            <w:vAlign w:val="center"/>
          </w:tcPr>
          <w:p>
            <w:pPr>
              <w:pStyle w:val="TableContents"/>
              <w:bidi w:val="0"/>
              <w:spacing w:before="0" w:after="283"/>
              <w:jc w:val="center"/>
              <w:rPr/>
            </w:pPr>
            <w:r>
              <w:rPr>
                <w:rStyle w:val="StrongEmphasis"/>
              </w:rPr>
              <w:t>CONSOLIDATED STATEMENTS OF CASH FLOWS</w:t>
            </w:r>
          </w:p>
        </w:tc>
      </w:tr>
      <w:tr>
        <w:trPr/>
        <w:tc>
          <w:tcPr>
            <w:tcW w:w="10205" w:type="dxa"/>
            <w:gridSpan w:val="16"/>
            <w:tcBorders/>
            <w:vAlign w:val="center"/>
          </w:tcPr>
          <w:p>
            <w:pPr>
              <w:pStyle w:val="TableContents"/>
              <w:bidi w:val="0"/>
              <w:spacing w:before="0" w:after="283"/>
              <w:jc w:val="center"/>
              <w:rPr/>
            </w:pPr>
            <w:r>
              <w:rPr>
                <w:rStyle w:val="StrongEmphasis"/>
              </w:rPr>
              <w:t>U.S. dollars in thousands</w:t>
            </w:r>
          </w:p>
        </w:tc>
      </w:tr>
      <w:tr>
        <w:trPr/>
        <w:tc>
          <w:tcPr>
            <w:tcW w:w="3925" w:type="dxa"/>
            <w:tcBorders/>
            <w:vAlign w:val="center"/>
          </w:tcPr>
          <w:p>
            <w:pPr>
              <w:pStyle w:val="TableContents"/>
              <w:bidi w:val="0"/>
              <w:spacing w:before="0" w:after="283"/>
              <w:jc w:val="center"/>
              <w:rPr/>
            </w:pPr>
            <w:r>
              <w:rPr/>
              <w:t> </w:t>
            </w:r>
          </w:p>
        </w:tc>
        <w:tc>
          <w:tcPr>
            <w:tcW w:w="1403" w:type="dxa"/>
            <w:gridSpan w:val="3"/>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49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right"/>
              <w:rPr/>
            </w:pPr>
            <w:r>
              <w:rPr/>
              <w:t> </w:t>
            </w:r>
          </w:p>
        </w:tc>
        <w:tc>
          <w:tcPr>
            <w:tcW w:w="3069"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 months ended June 30,</w:t>
            </w:r>
          </w:p>
        </w:tc>
        <w:tc>
          <w:tcPr>
            <w:tcW w:w="146" w:type="dxa"/>
            <w:tcBorders/>
            <w:vAlign w:val="center"/>
          </w:tcPr>
          <w:p>
            <w:pPr>
              <w:pStyle w:val="TableContents"/>
              <w:bidi w:val="0"/>
              <w:spacing w:before="0" w:after="283"/>
              <w:jc w:val="left"/>
              <w:rPr/>
            </w:pPr>
            <w:r>
              <w:rPr/>
              <w:t> </w:t>
            </w:r>
          </w:p>
        </w:tc>
        <w:tc>
          <w:tcPr>
            <w:tcW w:w="306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six months ended June 30,</w:t>
            </w:r>
          </w:p>
        </w:tc>
      </w:tr>
      <w:tr>
        <w:trPr/>
        <w:tc>
          <w:tcPr>
            <w:tcW w:w="3925" w:type="dxa"/>
            <w:tcBorders/>
            <w:vAlign w:val="center"/>
          </w:tcPr>
          <w:p>
            <w:pPr>
              <w:pStyle w:val="TableContents"/>
              <w:bidi w:val="0"/>
              <w:spacing w:before="0" w:after="283"/>
              <w:jc w:val="right"/>
              <w:rPr/>
            </w:pPr>
            <w:r>
              <w:rPr/>
              <w:t> </w:t>
            </w:r>
          </w:p>
        </w:tc>
        <w:tc>
          <w:tcPr>
            <w:tcW w:w="140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74"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9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left"/>
              <w:rPr/>
            </w:pPr>
            <w:r>
              <w:rPr/>
              <w:t> </w:t>
            </w:r>
          </w:p>
        </w:tc>
        <w:tc>
          <w:tcPr>
            <w:tcW w:w="142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7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925" w:type="dxa"/>
            <w:tcBorders/>
            <w:vAlign w:val="center"/>
          </w:tcPr>
          <w:p>
            <w:pPr>
              <w:pStyle w:val="TableContents"/>
              <w:bidi w:val="0"/>
              <w:spacing w:before="0" w:after="283"/>
              <w:jc w:val="right"/>
              <w:rPr/>
            </w:pPr>
            <w:r>
              <w:rPr/>
              <w:t> </w:t>
            </w:r>
          </w:p>
        </w:tc>
        <w:tc>
          <w:tcPr>
            <w:tcW w:w="3069" w:type="dxa"/>
            <w:gridSpan w:val="7"/>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left"/>
              <w:rPr/>
            </w:pPr>
            <w:r>
              <w:rPr/>
              <w:t> </w:t>
            </w:r>
          </w:p>
        </w:tc>
        <w:tc>
          <w:tcPr>
            <w:tcW w:w="3065" w:type="dxa"/>
            <w:gridSpan w:val="7"/>
            <w:tcBorders/>
            <w:vAlign w:val="center"/>
          </w:tcPr>
          <w:p>
            <w:pPr>
              <w:pStyle w:val="TableContents"/>
              <w:bidi w:val="0"/>
              <w:spacing w:before="0" w:after="283"/>
              <w:jc w:val="center"/>
              <w:rPr/>
            </w:pPr>
            <w:r>
              <w:rPr>
                <w:rStyle w:val="StrongEmphasis"/>
              </w:rPr>
              <w:t>(Unaudited)</w:t>
            </w:r>
          </w:p>
        </w:tc>
      </w:tr>
      <w:tr>
        <w:trPr/>
        <w:tc>
          <w:tcPr>
            <w:tcW w:w="3925" w:type="dxa"/>
            <w:tcBorders/>
            <w:vAlign w:val="center"/>
          </w:tcPr>
          <w:p>
            <w:pPr>
              <w:pStyle w:val="TableContents"/>
              <w:bidi w:val="0"/>
              <w:spacing w:before="0" w:after="283"/>
              <w:jc w:val="left"/>
              <w:rPr/>
            </w:pPr>
            <w:r>
              <w:rPr/>
              <w:t>Cash flows from operating activities:</w:t>
            </w:r>
          </w:p>
        </w:tc>
        <w:tc>
          <w:tcPr>
            <w:tcW w:w="1403" w:type="dxa"/>
            <w:gridSpan w:val="3"/>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Total comprehensive profit</w:t>
            </w:r>
          </w:p>
        </w:tc>
        <w:tc>
          <w:tcPr>
            <w:tcW w:w="270"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2,710</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2,027</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w:t>
            </w:r>
          </w:p>
        </w:tc>
        <w:tc>
          <w:tcPr>
            <w:tcW w:w="958" w:type="dxa"/>
            <w:tcBorders/>
            <w:vAlign w:val="center"/>
          </w:tcPr>
          <w:p>
            <w:pPr>
              <w:pStyle w:val="TableContents"/>
              <w:bidi w:val="0"/>
              <w:spacing w:before="0" w:after="283"/>
              <w:jc w:val="right"/>
              <w:rPr/>
            </w:pPr>
            <w:r>
              <w:rPr/>
              <w:t>5,000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w:t>
            </w:r>
          </w:p>
        </w:tc>
        <w:tc>
          <w:tcPr>
            <w:tcW w:w="958" w:type="dxa"/>
            <w:tcBorders/>
            <w:vAlign w:val="center"/>
          </w:tcPr>
          <w:p>
            <w:pPr>
              <w:pStyle w:val="TableContents"/>
              <w:bidi w:val="0"/>
              <w:spacing w:before="0" w:after="283"/>
              <w:jc w:val="right"/>
              <w:rPr/>
            </w:pPr>
            <w:r>
              <w:rPr/>
              <w:t>3,134</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Adjustments to reconcile net profit to net cash provided by operating activities:</w:t>
            </w:r>
          </w:p>
        </w:tc>
        <w:tc>
          <w:tcPr>
            <w:tcW w:w="1403" w:type="dxa"/>
            <w:gridSpan w:val="3"/>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righ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Adjustments to profit or loss items:</w:t>
            </w:r>
          </w:p>
        </w:tc>
        <w:tc>
          <w:tcPr>
            <w:tcW w:w="1403" w:type="dxa"/>
            <w:gridSpan w:val="3"/>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righ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239</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180</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406</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371</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Depreciation of leased systems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203</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208</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501</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411</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Impairment and disposal of inventory and system components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55</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(40</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(197</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168</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Finance income, net</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(287</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(1,443</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(843</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(2,207</w:t>
            </w:r>
          </w:p>
        </w:tc>
        <w:tc>
          <w:tcPr>
            <w:tcW w:w="263" w:type="dxa"/>
            <w:tcBorders/>
            <w:vAlign w:val="center"/>
          </w:tcPr>
          <w:p>
            <w:pPr>
              <w:pStyle w:val="TableContents"/>
              <w:bidi w:val="0"/>
              <w:spacing w:before="0" w:after="283"/>
              <w:jc w:val="left"/>
              <w:rPr/>
            </w:pPr>
            <w:r>
              <w:rPr/>
              <w:t>)</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Cost of share based payment</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667</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227</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1,008</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552</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Income taxes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208</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70</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328</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227</w:t>
            </w:r>
          </w:p>
        </w:tc>
        <w:tc>
          <w:tcPr>
            <w:tcW w:w="263" w:type="dxa"/>
            <w:tcBorders/>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Total adjustments to reconcile profit</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1,085</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(798</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1,203</w:t>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(478</w:t>
            </w:r>
          </w:p>
        </w:tc>
        <w:tc>
          <w:tcPr>
            <w:tcW w:w="2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3925" w:type="dxa"/>
            <w:tcBorders/>
            <w:vAlign w:val="center"/>
          </w:tcPr>
          <w:p>
            <w:pPr>
              <w:pStyle w:val="TableContents"/>
              <w:bidi w:val="0"/>
              <w:spacing w:before="0" w:after="283"/>
              <w:jc w:val="left"/>
              <w:rPr/>
            </w:pPr>
            <w:r>
              <w:rPr/>
              <w:t>Changes in asset and liability items:</w:t>
            </w:r>
          </w:p>
        </w:tc>
        <w:tc>
          <w:tcPr>
            <w:tcW w:w="1403" w:type="dxa"/>
            <w:gridSpan w:val="3"/>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righ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Decrease (increase) in inventory</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(137</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498</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(237</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425</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Increase (decrease) in trade receivables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534</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3,176</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(2,921</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827</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Decrease in other current assets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182</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746</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30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264</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Decrease in other financial assets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309</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729</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Increase (decrease) in trade payables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(452</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(950</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74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(1,690</w:t>
            </w:r>
          </w:p>
        </w:tc>
        <w:tc>
          <w:tcPr>
            <w:tcW w:w="263" w:type="dxa"/>
            <w:tcBorders/>
            <w:vAlign w:val="center"/>
          </w:tcPr>
          <w:p>
            <w:pPr>
              <w:pStyle w:val="TableContents"/>
              <w:bidi w:val="0"/>
              <w:spacing w:before="0" w:after="283"/>
              <w:jc w:val="left"/>
              <w:rPr/>
            </w:pPr>
            <w:r>
              <w:rPr/>
              <w:t>)</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Increase (decrease) in other accounts payable</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(519</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(454</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44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(838</w:t>
            </w:r>
          </w:p>
        </w:tc>
        <w:tc>
          <w:tcPr>
            <w:tcW w:w="263" w:type="dxa"/>
            <w:tcBorders/>
            <w:vAlign w:val="center"/>
          </w:tcPr>
          <w:p>
            <w:pPr>
              <w:pStyle w:val="TableContents"/>
              <w:bidi w:val="0"/>
              <w:spacing w:before="0" w:after="283"/>
              <w:jc w:val="left"/>
              <w:rPr/>
            </w:pPr>
            <w:r>
              <w:rPr/>
              <w:t>)</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Increase in deferred revenues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2,305</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8,379</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2,745</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14,691</w:t>
            </w:r>
          </w:p>
        </w:tc>
        <w:tc>
          <w:tcPr>
            <w:tcW w:w="263" w:type="dxa"/>
            <w:tcBorders/>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Total changes in asset and liability</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2,222</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11,395</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464</w:t>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13,679</w:t>
            </w:r>
          </w:p>
        </w:tc>
        <w:tc>
          <w:tcPr>
            <w:tcW w:w="2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Cash paid and received during the period for:</w:t>
            </w:r>
          </w:p>
        </w:tc>
        <w:tc>
          <w:tcPr>
            <w:tcW w:w="140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49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Interest paid</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(239</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(32</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(350</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(54</w:t>
            </w:r>
          </w:p>
        </w:tc>
        <w:tc>
          <w:tcPr>
            <w:tcW w:w="263" w:type="dxa"/>
            <w:tcBorders/>
            <w:vAlign w:val="center"/>
          </w:tcPr>
          <w:p>
            <w:pPr>
              <w:pStyle w:val="TableContents"/>
              <w:bidi w:val="0"/>
              <w:spacing w:before="0" w:after="283"/>
              <w:jc w:val="left"/>
              <w:rPr/>
            </w:pPr>
            <w:r>
              <w:rPr/>
              <w:t>)</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Interest received</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656</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835</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1,285</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1,748</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Income taxes paid</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(127</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(640</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(127</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(636</w:t>
            </w:r>
          </w:p>
        </w:tc>
        <w:tc>
          <w:tcPr>
            <w:tcW w:w="263" w:type="dxa"/>
            <w:tcBorders/>
            <w:vAlign w:val="center"/>
          </w:tcPr>
          <w:p>
            <w:pPr>
              <w:pStyle w:val="TableContents"/>
              <w:bidi w:val="0"/>
              <w:spacing w:before="0" w:after="283"/>
              <w:jc w:val="left"/>
              <w:rPr/>
            </w:pPr>
            <w:r>
              <w:rPr/>
              <w:t>)</w:t>
            </w:r>
          </w:p>
        </w:tc>
      </w:tr>
      <w:tr>
        <w:trPr/>
        <w:tc>
          <w:tcPr>
            <w:tcW w:w="3925" w:type="dxa"/>
            <w:tcBorders/>
            <w:vAlign w:val="center"/>
          </w:tcPr>
          <w:p>
            <w:pPr>
              <w:pStyle w:val="TableContents"/>
              <w:bidi w:val="0"/>
              <w:spacing w:before="0" w:after="283"/>
              <w:jc w:val="left"/>
              <w:rPr/>
            </w:pPr>
            <w:r>
              <w:rPr/>
              <w:t>Total cash paid and received during the period</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290</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163</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808</w:t>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1,058</w:t>
            </w:r>
          </w:p>
        </w:tc>
        <w:tc>
          <w:tcPr>
            <w:tcW w:w="2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Net cash provided by operating activities:</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6,307</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12,787</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7,475</w:t>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17,393</w:t>
            </w:r>
          </w:p>
        </w:tc>
        <w:tc>
          <w:tcPr>
            <w:tcW w:w="2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right"/>
              <w:rPr/>
            </w:pPr>
            <w:r>
              <w:rPr/>
              <w:t> </w:t>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3925" w:type="dxa"/>
            <w:tcBorders/>
            <w:vAlign w:val="center"/>
          </w:tcPr>
          <w:p>
            <w:pPr>
              <w:pStyle w:val="TableContents"/>
              <w:bidi w:val="0"/>
              <w:spacing w:before="0" w:after="283"/>
              <w:jc w:val="left"/>
              <w:rPr/>
            </w:pPr>
            <w:r>
              <w:rPr/>
              <w:t>Cash flows from investing activities:</w:t>
            </w:r>
          </w:p>
        </w:tc>
        <w:tc>
          <w:tcPr>
            <w:tcW w:w="1403" w:type="dxa"/>
            <w:gridSpan w:val="3"/>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righ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Purchase of property and equipment and system components, net</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(884</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(1,166</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(1,653</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(2,209</w:t>
            </w:r>
          </w:p>
        </w:tc>
        <w:tc>
          <w:tcPr>
            <w:tcW w:w="263" w:type="dxa"/>
            <w:tcBorders/>
            <w:vAlign w:val="center"/>
          </w:tcPr>
          <w:p>
            <w:pPr>
              <w:pStyle w:val="TableContents"/>
              <w:bidi w:val="0"/>
              <w:spacing w:before="0" w:after="283"/>
              <w:jc w:val="left"/>
              <w:rPr/>
            </w:pPr>
            <w:r>
              <w:rPr/>
              <w:t>)</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Purchase of financial assets measured at fair value</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(1,625</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(5,000</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(10,125</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(5,000</w:t>
            </w:r>
          </w:p>
        </w:tc>
        <w:tc>
          <w:tcPr>
            <w:tcW w:w="263" w:type="dxa"/>
            <w:tcBorders/>
            <w:vAlign w:val="center"/>
          </w:tcPr>
          <w:p>
            <w:pPr>
              <w:pStyle w:val="TableContents"/>
              <w:bidi w:val="0"/>
              <w:spacing w:before="0" w:after="283"/>
              <w:jc w:val="left"/>
              <w:rPr/>
            </w:pPr>
            <w:r>
              <w:rPr/>
              <w:t>)</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Investment in short-term bank deposits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(10,000</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(10,000</w:t>
            </w:r>
          </w:p>
        </w:tc>
        <w:tc>
          <w:tcPr>
            <w:tcW w:w="263" w:type="dxa"/>
            <w:tcBorders/>
            <w:vAlign w:val="center"/>
          </w:tcPr>
          <w:p>
            <w:pPr>
              <w:pStyle w:val="TableContents"/>
              <w:bidi w:val="0"/>
              <w:spacing w:before="0" w:after="283"/>
              <w:jc w:val="left"/>
              <w:rPr/>
            </w:pPr>
            <w:r>
              <w:rPr/>
              <w:t>)</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Investment in short-term deposits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(17</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(17</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Withdrawal of short-term deposits</w:t>
            </w:r>
          </w:p>
        </w:tc>
        <w:tc>
          <w:tcPr>
            <w:tcW w:w="27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4</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7</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Withdrawal of restricted cash</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20</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20</w:t>
            </w:r>
          </w:p>
        </w:tc>
        <w:tc>
          <w:tcPr>
            <w:tcW w:w="263" w:type="dxa"/>
            <w:tcBorders/>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Investment in Commission asset</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(122</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(117</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(183</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(636</w:t>
            </w:r>
          </w:p>
        </w:tc>
        <w:tc>
          <w:tcPr>
            <w:tcW w:w="263" w:type="dxa"/>
            <w:tcBorders/>
            <w:vAlign w:val="center"/>
          </w:tcPr>
          <w:p>
            <w:pPr>
              <w:pStyle w:val="TableContents"/>
              <w:bidi w:val="0"/>
              <w:spacing w:before="0" w:after="283"/>
              <w:jc w:val="left"/>
              <w:rPr/>
            </w:pPr>
            <w:r>
              <w:rPr/>
              <w:t>)</w:t>
            </w:r>
          </w:p>
        </w:tc>
      </w:tr>
      <w:tr>
        <w:trPr/>
        <w:tc>
          <w:tcPr>
            <w:tcW w:w="3925" w:type="dxa"/>
            <w:tcBorders/>
            <w:vAlign w:val="center"/>
          </w:tcPr>
          <w:p>
            <w:pPr>
              <w:pStyle w:val="TableContents"/>
              <w:bidi w:val="0"/>
              <w:spacing w:before="0" w:after="283"/>
              <w:jc w:val="left"/>
              <w:rPr/>
            </w:pPr>
            <w:r>
              <w:rPr/>
              <w:t>Net cash used in investing activities</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(2,644</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(16,263</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(11,971</w:t>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(17,825</w:t>
            </w:r>
          </w:p>
        </w:tc>
        <w:tc>
          <w:tcPr>
            <w:tcW w:w="2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3925" w:type="dxa"/>
            <w:tcBorders/>
            <w:vAlign w:val="center"/>
          </w:tcPr>
          <w:p>
            <w:pPr>
              <w:pStyle w:val="TableContents"/>
              <w:bidi w:val="0"/>
              <w:spacing w:before="0" w:after="283"/>
              <w:jc w:val="right"/>
              <w:rPr/>
            </w:pPr>
            <w:r>
              <w:rPr/>
              <w:t> </w:t>
            </w:r>
          </w:p>
        </w:tc>
        <w:tc>
          <w:tcPr>
            <w:tcW w:w="1403" w:type="dxa"/>
            <w:gridSpan w:val="3"/>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right"/>
              <w:rPr/>
            </w:pPr>
            <w:r>
              <w:rPr/>
              <w:t> </w:t>
            </w:r>
          </w:p>
        </w:tc>
      </w:tr>
      <w:tr>
        <w:trPr/>
        <w:tc>
          <w:tcPr>
            <w:tcW w:w="3925" w:type="dxa"/>
            <w:tcBorders/>
            <w:vAlign w:val="center"/>
          </w:tcPr>
          <w:p>
            <w:pPr>
              <w:pStyle w:val="TableContents"/>
              <w:bidi w:val="0"/>
              <w:spacing w:before="0" w:after="283"/>
              <w:jc w:val="left"/>
              <w:rPr/>
            </w:pPr>
            <w:r>
              <w:rPr/>
              <w:t>Cash flows from financing activities:</w:t>
            </w:r>
          </w:p>
        </w:tc>
        <w:tc>
          <w:tcPr>
            <w:tcW w:w="140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49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Repayment of liability in respect of research and development grants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(3</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(730</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(641</w:t>
            </w:r>
          </w:p>
        </w:tc>
        <w:tc>
          <w:tcPr>
            <w:tcW w:w="263" w:type="dxa"/>
            <w:tcBorders/>
            <w:vAlign w:val="center"/>
          </w:tcPr>
          <w:p>
            <w:pPr>
              <w:pStyle w:val="TableContents"/>
              <w:bidi w:val="0"/>
              <w:spacing w:before="0" w:after="283"/>
              <w:jc w:val="left"/>
              <w:rPr/>
            </w:pPr>
            <w:r>
              <w:rPr/>
              <w:t>)</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Repayment of lease liability</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(158</w:t>
            </w:r>
          </w:p>
        </w:tc>
        <w:tc>
          <w:tcPr>
            <w:tcW w:w="216" w:type="dxa"/>
            <w:tcBorders/>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(261</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(326</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(378</w:t>
            </w:r>
          </w:p>
        </w:tc>
        <w:tc>
          <w:tcPr>
            <w:tcW w:w="263" w:type="dxa"/>
            <w:tcBorders/>
            <w:vAlign w:val="center"/>
          </w:tcPr>
          <w:p>
            <w:pPr>
              <w:pStyle w:val="TableContents"/>
              <w:bidi w:val="0"/>
              <w:spacing w:before="0" w:after="283"/>
              <w:jc w:val="left"/>
              <w:rPr/>
            </w:pPr>
            <w:r>
              <w:rPr/>
              <w:t>)</w:t>
            </w:r>
          </w:p>
        </w:tc>
      </w:tr>
      <w:tr>
        <w:trPr/>
        <w:tc>
          <w:tcPr>
            <w:tcW w:w="3925" w:type="dxa"/>
            <w:tcBorders/>
            <w:vAlign w:val="center"/>
          </w:tcPr>
          <w:p>
            <w:pPr>
              <w:pStyle w:val="TableContents"/>
              <w:bidi w:val="0"/>
              <w:spacing w:before="0" w:after="283"/>
              <w:jc w:val="left"/>
              <w:rPr/>
            </w:pPr>
            <w:r>
              <w:rPr/>
              <w:t>Net cash used in financing activities</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(158</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(264</w:t>
            </w:r>
          </w:p>
        </w:tc>
        <w:tc>
          <w:tcPr>
            <w:tcW w:w="2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(1,056</w:t>
            </w:r>
          </w:p>
        </w:tc>
        <w:tc>
          <w:tcPr>
            <w:tcW w:w="2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(1,019</w:t>
            </w:r>
          </w:p>
        </w:tc>
        <w:tc>
          <w:tcPr>
            <w:tcW w:w="2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3925" w:type="dxa"/>
            <w:tcBorders/>
            <w:vAlign w:val="center"/>
          </w:tcPr>
          <w:p>
            <w:pPr>
              <w:pStyle w:val="TableContents"/>
              <w:bidi w:val="0"/>
              <w:spacing w:before="0" w:after="283"/>
              <w:jc w:val="left"/>
              <w:rPr/>
            </w:pPr>
            <w:r>
              <w:rPr/>
              <w:t>Exchange rate differences on cash and cash equivalents</w:t>
            </w:r>
          </w:p>
        </w:tc>
        <w:tc>
          <w:tcPr>
            <w:tcW w:w="27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74" w:type="dxa"/>
            <w:tcBorders/>
            <w:vAlign w:val="center"/>
          </w:tcPr>
          <w:p>
            <w:pPr>
              <w:pStyle w:val="TableContents"/>
              <w:bidi w:val="0"/>
              <w:spacing w:before="0" w:after="283"/>
              <w:jc w:val="right"/>
              <w:rPr/>
            </w:pPr>
            <w:r>
              <w:rPr/>
              <w:t> </w:t>
            </w:r>
          </w:p>
        </w:tc>
        <w:tc>
          <w:tcPr>
            <w:tcW w:w="27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 </w:t>
            </w:r>
          </w:p>
        </w:tc>
        <w:tc>
          <w:tcPr>
            <w:tcW w:w="1403" w:type="dxa"/>
            <w:gridSpan w:val="3"/>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1" w:type="dxa"/>
            <w:gridSpan w:val="3"/>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Increase (decrease) in cash and cash equivalents</w:t>
            </w:r>
          </w:p>
        </w:tc>
        <w:tc>
          <w:tcPr>
            <w:tcW w:w="270" w:type="dxa"/>
            <w:tcBorders/>
            <w:vAlign w:val="center"/>
          </w:tcPr>
          <w:p>
            <w:pPr>
              <w:pStyle w:val="TableContents"/>
              <w:bidi w:val="0"/>
              <w:spacing w:before="0" w:after="283"/>
              <w:jc w:val="right"/>
              <w:rPr/>
            </w:pPr>
            <w:r>
              <w:rPr/>
              <w:t> </w:t>
            </w:r>
          </w:p>
        </w:tc>
        <w:tc>
          <w:tcPr>
            <w:tcW w:w="917" w:type="dxa"/>
            <w:tcBorders/>
            <w:vAlign w:val="center"/>
          </w:tcPr>
          <w:p>
            <w:pPr>
              <w:pStyle w:val="TableContents"/>
              <w:bidi w:val="0"/>
              <w:spacing w:before="0" w:after="283"/>
              <w:jc w:val="right"/>
              <w:rPr/>
            </w:pPr>
            <w:r>
              <w:rPr/>
              <w:t>3,472</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06" w:type="dxa"/>
            <w:tcBorders/>
            <w:vAlign w:val="center"/>
          </w:tcPr>
          <w:p>
            <w:pPr>
              <w:pStyle w:val="TableContents"/>
              <w:bidi w:val="0"/>
              <w:spacing w:before="0" w:after="283"/>
              <w:jc w:val="right"/>
              <w:rPr/>
            </w:pPr>
            <w:r>
              <w:rPr/>
              <w:t>(3,689</w:t>
            </w:r>
          </w:p>
        </w:tc>
        <w:tc>
          <w:tcPr>
            <w:tcW w:w="21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(5,592</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(1,433</w:t>
            </w:r>
          </w:p>
        </w:tc>
        <w:tc>
          <w:tcPr>
            <w:tcW w:w="263" w:type="dxa"/>
            <w:tcBorders/>
            <w:vAlign w:val="center"/>
          </w:tcPr>
          <w:p>
            <w:pPr>
              <w:pStyle w:val="TableContents"/>
              <w:bidi w:val="0"/>
              <w:spacing w:before="0" w:after="283"/>
              <w:jc w:val="left"/>
              <w:rPr/>
            </w:pPr>
            <w:r>
              <w:rPr/>
              <w:t>)</w:t>
            </w:r>
          </w:p>
        </w:tc>
      </w:tr>
      <w:tr>
        <w:trPr/>
        <w:tc>
          <w:tcPr>
            <w:tcW w:w="3925" w:type="dxa"/>
            <w:tcBorders/>
            <w:vAlign w:val="center"/>
          </w:tcPr>
          <w:p>
            <w:pPr>
              <w:pStyle w:val="TableContents"/>
              <w:bidi w:val="0"/>
              <w:spacing w:before="0" w:after="283"/>
              <w:jc w:val="left"/>
              <w:rPr/>
            </w:pPr>
            <w:r>
              <w:rPr/>
              <w:t>Cash and cash equivalents at the beginning of the period</w:t>
            </w:r>
          </w:p>
        </w:tc>
        <w:tc>
          <w:tcPr>
            <w:tcW w:w="27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58,636</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71,601</w:t>
            </w:r>
          </w:p>
        </w:tc>
        <w:tc>
          <w:tcPr>
            <w:tcW w:w="2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67,700</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69,345</w:t>
            </w:r>
          </w:p>
        </w:tc>
        <w:tc>
          <w:tcPr>
            <w:tcW w:w="26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Cash and cash equivalents at the end of the period</w:t>
            </w:r>
          </w:p>
        </w:tc>
        <w:tc>
          <w:tcPr>
            <w:tcW w:w="27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1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62,108</w:t>
            </w:r>
          </w:p>
        </w:tc>
        <w:tc>
          <w:tcPr>
            <w:tcW w:w="21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0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67,912</w:t>
            </w:r>
          </w:p>
        </w:tc>
        <w:tc>
          <w:tcPr>
            <w:tcW w:w="21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5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62,108</w:t>
            </w:r>
          </w:p>
        </w:tc>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5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67,912</w:t>
            </w:r>
          </w:p>
        </w:tc>
        <w:tc>
          <w:tcPr>
            <w:tcW w:w="26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 </w:t>
            </w:r>
          </w:p>
        </w:tc>
        <w:tc>
          <w:tcPr>
            <w:tcW w:w="1403" w:type="dxa"/>
            <w:gridSpan w:val="3"/>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21" w:type="dxa"/>
            <w:gridSpan w:val="3"/>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right"/>
              <w:rPr/>
            </w:pPr>
            <w:r>
              <w:rPr/>
              <w:t> </w:t>
            </w:r>
          </w:p>
        </w:tc>
      </w:tr>
      <w:tr>
        <w:trPr/>
        <w:tc>
          <w:tcPr>
            <w:tcW w:w="3925" w:type="dxa"/>
            <w:tcBorders/>
            <w:vAlign w:val="center"/>
          </w:tcPr>
          <w:p>
            <w:pPr>
              <w:pStyle w:val="TableContents"/>
              <w:bidi w:val="0"/>
              <w:spacing w:before="0" w:after="283"/>
              <w:jc w:val="left"/>
              <w:rPr/>
            </w:pPr>
            <w:r>
              <w:rPr/>
              <w:t>(a) Significant non cash transactions:</w:t>
            </w:r>
          </w:p>
        </w:tc>
        <w:tc>
          <w:tcPr>
            <w:tcW w:w="1403" w:type="dxa"/>
            <w:gridSpan w:val="3"/>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21" w:type="dxa"/>
            <w:gridSpan w:val="3"/>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78" w:type="dxa"/>
            <w:gridSpan w:val="3"/>
            <w:tcBorders/>
            <w:vAlign w:val="center"/>
          </w:tcPr>
          <w:p>
            <w:pPr>
              <w:pStyle w:val="TableContents"/>
              <w:bidi w:val="0"/>
              <w:spacing w:before="0" w:after="283"/>
              <w:jc w:val="right"/>
              <w:rPr/>
            </w:pPr>
            <w:r>
              <w:rPr/>
              <w:t> </w:t>
            </w:r>
          </w:p>
        </w:tc>
      </w:tr>
      <w:tr>
        <w:trPr/>
        <w:tc>
          <w:tcPr>
            <w:tcW w:w="3925" w:type="dxa"/>
            <w:tcBorders/>
            <w:tcMar>
              <w:top w:w="0" w:type="dxa"/>
              <w:left w:w="0" w:type="dxa"/>
              <w:bottom w:w="0" w:type="dxa"/>
              <w:right w:w="0" w:type="dxa"/>
            </w:tcMar>
            <w:vAlign w:val="center"/>
          </w:tcPr>
          <w:p>
            <w:pPr>
              <w:pStyle w:val="TableContents"/>
              <w:bidi w:val="0"/>
              <w:spacing w:before="0" w:after="283"/>
              <w:jc w:val="left"/>
              <w:rPr/>
            </w:pPr>
            <w:r>
              <w:rPr/>
              <w:t>Right-of-use asset recognized with corresponding lease liability</w:t>
            </w:r>
          </w:p>
        </w:tc>
        <w:tc>
          <w:tcPr>
            <w:tcW w:w="27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1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170</w:t>
            </w:r>
          </w:p>
        </w:tc>
        <w:tc>
          <w:tcPr>
            <w:tcW w:w="21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right"/>
              <w:rPr/>
            </w:pPr>
            <w:r>
              <w:rPr/>
              <w:t> </w:t>
            </w:r>
          </w:p>
        </w:tc>
        <w:tc>
          <w:tcPr>
            <w:tcW w:w="27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0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170</w:t>
            </w:r>
          </w:p>
        </w:tc>
        <w:tc>
          <w:tcPr>
            <w:tcW w:w="21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5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177</w:t>
            </w:r>
          </w:p>
        </w:tc>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5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197</w:t>
            </w:r>
          </w:p>
        </w:tc>
        <w:tc>
          <w:tcPr>
            <w:tcW w:w="26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2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412"/>
        <w:gridCol w:w="187"/>
        <w:gridCol w:w="316"/>
        <w:gridCol w:w="906"/>
        <w:gridCol w:w="253"/>
        <w:gridCol w:w="205"/>
        <w:gridCol w:w="316"/>
        <w:gridCol w:w="1012"/>
        <w:gridCol w:w="253"/>
        <w:gridCol w:w="187"/>
        <w:gridCol w:w="299"/>
        <w:gridCol w:w="859"/>
        <w:gridCol w:w="240"/>
        <w:gridCol w:w="193"/>
        <w:gridCol w:w="299"/>
        <w:gridCol w:w="958"/>
        <w:gridCol w:w="310"/>
      </w:tblGrid>
      <w:tr>
        <w:trPr/>
        <w:tc>
          <w:tcPr>
            <w:tcW w:w="10205" w:type="dxa"/>
            <w:gridSpan w:val="17"/>
            <w:tcBorders/>
            <w:vAlign w:val="center"/>
          </w:tcPr>
          <w:p>
            <w:pPr>
              <w:pStyle w:val="TableContents"/>
              <w:bidi w:val="0"/>
              <w:spacing w:before="0" w:after="283"/>
              <w:jc w:val="center"/>
              <w:rPr/>
            </w:pPr>
            <w:r>
              <w:rPr>
                <w:rStyle w:val="StrongEmphasis"/>
              </w:rPr>
              <w:t>BRAINSWAY LTD.</w:t>
            </w:r>
          </w:p>
        </w:tc>
      </w:tr>
      <w:tr>
        <w:trPr/>
        <w:tc>
          <w:tcPr>
            <w:tcW w:w="10205" w:type="dxa"/>
            <w:gridSpan w:val="17"/>
            <w:tcBorders/>
            <w:vAlign w:val="center"/>
          </w:tcPr>
          <w:p>
            <w:pPr>
              <w:pStyle w:val="TableContents"/>
              <w:bidi w:val="0"/>
              <w:spacing w:before="0" w:after="283"/>
              <w:jc w:val="center"/>
              <w:rPr/>
            </w:pPr>
            <w:r>
              <w:rPr>
                <w:rStyle w:val="StrongEmphasis"/>
              </w:rPr>
              <w:t>A reconciliation of Adjusted EBITDA to net income, the most directly comparable IFRS measure, is set forth below:</w:t>
            </w:r>
          </w:p>
        </w:tc>
      </w:tr>
      <w:tr>
        <w:trPr/>
        <w:tc>
          <w:tcPr>
            <w:tcW w:w="10205" w:type="dxa"/>
            <w:gridSpan w:val="17"/>
            <w:tcBorders/>
            <w:vAlign w:val="center"/>
          </w:tcPr>
          <w:p>
            <w:pPr>
              <w:pStyle w:val="TableContents"/>
              <w:bidi w:val="0"/>
              <w:spacing w:before="0" w:after="283"/>
              <w:jc w:val="center"/>
              <w:rPr/>
            </w:pPr>
            <w:r>
              <w:rPr>
                <w:rStyle w:val="StrongEmphasis"/>
              </w:rPr>
              <w:t>U.S. dollars in thousands (except share and per share data)</w:t>
            </w:r>
          </w:p>
        </w:tc>
      </w:tr>
      <w:tr>
        <w:trPr/>
        <w:tc>
          <w:tcPr>
            <w:tcW w:w="3412" w:type="dxa"/>
            <w:tcBorders/>
            <w:vAlign w:val="center"/>
          </w:tcPr>
          <w:p>
            <w:pPr>
              <w:pStyle w:val="TableContents"/>
              <w:bidi w:val="0"/>
              <w:spacing w:before="0" w:after="283"/>
              <w:jc w:val="center"/>
              <w:rPr/>
            </w:pPr>
            <w:r>
              <w:rPr/>
              <w:t> </w:t>
            </w:r>
          </w:p>
        </w:tc>
        <w:tc>
          <w:tcPr>
            <w:tcW w:w="187" w:type="dxa"/>
            <w:tcBorders/>
            <w:vAlign w:val="center"/>
          </w:tcPr>
          <w:p>
            <w:pPr>
              <w:pStyle w:val="TableContents"/>
              <w:bidi w:val="0"/>
              <w:spacing w:before="0" w:after="283"/>
              <w:jc w:val="left"/>
              <w:rPr/>
            </w:pPr>
            <w:r>
              <w:rPr/>
              <w:t> </w:t>
            </w:r>
          </w:p>
        </w:tc>
        <w:tc>
          <w:tcPr>
            <w:tcW w:w="1475" w:type="dxa"/>
            <w:gridSpan w:val="3"/>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581" w:type="dxa"/>
            <w:gridSpan w:val="3"/>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567" w:type="dxa"/>
            <w:gridSpan w:val="3"/>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326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 months ended June 30,</w:t>
            </w:r>
          </w:p>
        </w:tc>
        <w:tc>
          <w:tcPr>
            <w:tcW w:w="187" w:type="dxa"/>
            <w:tcBorders/>
            <w:vAlign w:val="center"/>
          </w:tcPr>
          <w:p>
            <w:pPr>
              <w:pStyle w:val="TableContents"/>
              <w:bidi w:val="0"/>
              <w:spacing w:before="0" w:after="283"/>
              <w:jc w:val="left"/>
              <w:rPr/>
            </w:pPr>
            <w:r>
              <w:rPr/>
              <w:t> </w:t>
            </w:r>
          </w:p>
        </w:tc>
        <w:tc>
          <w:tcPr>
            <w:tcW w:w="3158"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six months ended June 30,</w:t>
            </w:r>
          </w:p>
        </w:tc>
      </w:tr>
      <w:tr>
        <w:trPr/>
        <w:tc>
          <w:tcPr>
            <w:tcW w:w="3412"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14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0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5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7" w:type="dxa"/>
            <w:tcBorders/>
            <w:vAlign w:val="center"/>
          </w:tcPr>
          <w:p>
            <w:pPr>
              <w:pStyle w:val="TableContents"/>
              <w:bidi w:val="0"/>
              <w:spacing w:before="0" w:after="283"/>
              <w:jc w:val="left"/>
              <w:rPr/>
            </w:pPr>
            <w:r>
              <w:rPr/>
              <w:t> </w:t>
            </w:r>
          </w:p>
        </w:tc>
        <w:tc>
          <w:tcPr>
            <w:tcW w:w="139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56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412"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right"/>
              <w:rPr/>
            </w:pPr>
            <w:r>
              <w:rPr/>
              <w:t> </w:t>
            </w:r>
          </w:p>
        </w:tc>
        <w:tc>
          <w:tcPr>
            <w:tcW w:w="3261" w:type="dxa"/>
            <w:gridSpan w:val="7"/>
            <w:tcBorders/>
            <w:vAlign w:val="center"/>
          </w:tcPr>
          <w:p>
            <w:pPr>
              <w:pStyle w:val="TableContents"/>
              <w:bidi w:val="0"/>
              <w:spacing w:before="0" w:after="283"/>
              <w:jc w:val="center"/>
              <w:rPr/>
            </w:pPr>
            <w:r>
              <w:rPr>
                <w:rStyle w:val="StrongEmphasis"/>
              </w:rPr>
              <w:t>(Unaudited)</w:t>
            </w:r>
          </w:p>
        </w:tc>
        <w:tc>
          <w:tcPr>
            <w:tcW w:w="187" w:type="dxa"/>
            <w:tcBorders/>
            <w:vAlign w:val="center"/>
          </w:tcPr>
          <w:p>
            <w:pPr>
              <w:pStyle w:val="TableContents"/>
              <w:bidi w:val="0"/>
              <w:spacing w:before="0" w:after="283"/>
              <w:jc w:val="right"/>
              <w:rPr/>
            </w:pPr>
            <w:r>
              <w:rPr/>
              <w:t> </w:t>
            </w:r>
          </w:p>
        </w:tc>
        <w:tc>
          <w:tcPr>
            <w:tcW w:w="3158" w:type="dxa"/>
            <w:gridSpan w:val="7"/>
            <w:tcBorders/>
            <w:vAlign w:val="center"/>
          </w:tcPr>
          <w:p>
            <w:pPr>
              <w:pStyle w:val="TableContents"/>
              <w:bidi w:val="0"/>
              <w:spacing w:before="0" w:after="283"/>
              <w:jc w:val="center"/>
              <w:rPr/>
            </w:pPr>
            <w:r>
              <w:rPr>
                <w:rStyle w:val="StrongEmphasis"/>
              </w:rPr>
              <w:t>(Unaudited)</w:t>
            </w:r>
          </w:p>
        </w:tc>
      </w:tr>
      <w:tr>
        <w:trPr/>
        <w:tc>
          <w:tcPr>
            <w:tcW w:w="3412" w:type="dxa"/>
            <w:tcBorders/>
            <w:vAlign w:val="center"/>
          </w:tcPr>
          <w:p>
            <w:pPr>
              <w:pStyle w:val="TableContents"/>
              <w:bidi w:val="0"/>
              <w:spacing w:before="0" w:after="283"/>
              <w:jc w:val="left"/>
              <w:rPr/>
            </w:pPr>
            <w:r>
              <w:rPr>
                <w:rStyle w:val="StrongEmphasis"/>
              </w:rPr>
              <w:t>Net Income</w:t>
            </w:r>
          </w:p>
        </w:tc>
        <w:tc>
          <w:tcPr>
            <w:tcW w:w="187"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right"/>
              <w:rPr/>
            </w:pPr>
            <w:r>
              <w:rPr/>
              <w:t>$</w:t>
            </w:r>
          </w:p>
        </w:tc>
        <w:tc>
          <w:tcPr>
            <w:tcW w:w="906" w:type="dxa"/>
            <w:tcBorders/>
            <w:vAlign w:val="center"/>
          </w:tcPr>
          <w:p>
            <w:pPr>
              <w:pStyle w:val="TableContents"/>
              <w:bidi w:val="0"/>
              <w:spacing w:before="0" w:after="283"/>
              <w:jc w:val="right"/>
              <w:rPr/>
            </w:pPr>
            <w:r>
              <w:rPr/>
              <w:t>2,710</w:t>
            </w:r>
          </w:p>
        </w:tc>
        <w:tc>
          <w:tcPr>
            <w:tcW w:w="253"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right"/>
              <w:rPr/>
            </w:pPr>
            <w:r>
              <w:rPr/>
              <w:t>$</w:t>
            </w:r>
          </w:p>
        </w:tc>
        <w:tc>
          <w:tcPr>
            <w:tcW w:w="1012" w:type="dxa"/>
            <w:tcBorders/>
            <w:vAlign w:val="center"/>
          </w:tcPr>
          <w:p>
            <w:pPr>
              <w:pStyle w:val="TableContents"/>
              <w:bidi w:val="0"/>
              <w:spacing w:before="0" w:after="283"/>
              <w:jc w:val="right"/>
              <w:rPr/>
            </w:pPr>
            <w:r>
              <w:rPr/>
              <w:t>2,027</w:t>
            </w:r>
          </w:p>
        </w:tc>
        <w:tc>
          <w:tcPr>
            <w:tcW w:w="25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w:t>
            </w:r>
          </w:p>
        </w:tc>
        <w:tc>
          <w:tcPr>
            <w:tcW w:w="859" w:type="dxa"/>
            <w:tcBorders/>
            <w:vAlign w:val="center"/>
          </w:tcPr>
          <w:p>
            <w:pPr>
              <w:pStyle w:val="TableContents"/>
              <w:bidi w:val="0"/>
              <w:spacing w:before="0" w:after="283"/>
              <w:jc w:val="right"/>
              <w:rPr/>
            </w:pPr>
            <w:r>
              <w:rPr/>
              <w:t>5,000</w:t>
            </w:r>
          </w:p>
        </w:tc>
        <w:tc>
          <w:tcPr>
            <w:tcW w:w="24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w:t>
            </w:r>
          </w:p>
        </w:tc>
        <w:tc>
          <w:tcPr>
            <w:tcW w:w="958" w:type="dxa"/>
            <w:tcBorders/>
            <w:vAlign w:val="center"/>
          </w:tcPr>
          <w:p>
            <w:pPr>
              <w:pStyle w:val="TableContents"/>
              <w:bidi w:val="0"/>
              <w:spacing w:before="0" w:after="283"/>
              <w:jc w:val="right"/>
              <w:rPr/>
            </w:pPr>
            <w:r>
              <w:rPr/>
              <w:t>3,134</w:t>
            </w:r>
          </w:p>
        </w:tc>
        <w:tc>
          <w:tcPr>
            <w:tcW w:w="310"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right"/>
              <w:rPr/>
            </w:pPr>
            <w:r>
              <w:rPr/>
              <w:t> </w:t>
            </w:r>
          </w:p>
        </w:tc>
        <w:tc>
          <w:tcPr>
            <w:tcW w:w="1475" w:type="dxa"/>
            <w:gridSpan w:val="3"/>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right"/>
              <w:rPr/>
            </w:pPr>
            <w:r>
              <w:rPr/>
              <w:t> </w:t>
            </w:r>
          </w:p>
        </w:tc>
        <w:tc>
          <w:tcPr>
            <w:tcW w:w="1581" w:type="dxa"/>
            <w:gridSpan w:val="3"/>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right"/>
              <w:rPr/>
            </w:pPr>
            <w:r>
              <w:rPr/>
              <w:t> </w:t>
            </w:r>
          </w:p>
        </w:tc>
        <w:tc>
          <w:tcPr>
            <w:tcW w:w="1398" w:type="dxa"/>
            <w:gridSpan w:val="3"/>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left"/>
              <w:rPr/>
            </w:pPr>
            <w:r>
              <w:rPr/>
              <w:t> </w:t>
            </w:r>
          </w:p>
        </w:tc>
        <w:tc>
          <w:tcPr>
            <w:tcW w:w="1567" w:type="dxa"/>
            <w:gridSpan w:val="3"/>
            <w:tcBorders/>
            <w:vAlign w:val="center"/>
          </w:tcPr>
          <w:p>
            <w:pPr>
              <w:pStyle w:val="TableContents"/>
              <w:bidi w:val="0"/>
              <w:spacing w:before="0" w:after="283"/>
              <w:jc w:val="right"/>
              <w:rPr/>
            </w:pPr>
            <w:r>
              <w:rPr/>
              <w:t> </w:t>
            </w:r>
          </w:p>
        </w:tc>
      </w:tr>
      <w:tr>
        <w:trPr/>
        <w:tc>
          <w:tcPr>
            <w:tcW w:w="3412" w:type="dxa"/>
            <w:tcBorders/>
            <w:tcMar>
              <w:top w:w="0" w:type="dxa"/>
              <w:left w:w="0" w:type="dxa"/>
              <w:bottom w:w="0" w:type="dxa"/>
              <w:right w:w="0" w:type="dxa"/>
            </w:tcMar>
            <w:vAlign w:val="center"/>
          </w:tcPr>
          <w:p>
            <w:pPr>
              <w:pStyle w:val="TableContents"/>
              <w:bidi w:val="0"/>
              <w:spacing w:before="0" w:after="283"/>
              <w:jc w:val="left"/>
              <w:rPr/>
            </w:pPr>
            <w:r>
              <w:rPr/>
              <w:t>Finance income, net</w:t>
            </w:r>
          </w:p>
        </w:tc>
        <w:tc>
          <w:tcPr>
            <w:tcW w:w="18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(527</w:t>
            </w:r>
          </w:p>
        </w:tc>
        <w:tc>
          <w:tcPr>
            <w:tcW w:w="253" w:type="dxa"/>
            <w:tcBorders/>
            <w:vAlign w:val="center"/>
          </w:tcPr>
          <w:p>
            <w:pPr>
              <w:pStyle w:val="TableContents"/>
              <w:bidi w:val="0"/>
              <w:spacing w:before="0" w:after="283"/>
              <w:jc w:val="left"/>
              <w:rPr/>
            </w:pPr>
            <w:r>
              <w:rPr/>
              <w:t>)</w:t>
            </w:r>
          </w:p>
        </w:tc>
        <w:tc>
          <w:tcPr>
            <w:tcW w:w="205"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(1,519</w:t>
            </w:r>
          </w:p>
        </w:tc>
        <w:tc>
          <w:tcPr>
            <w:tcW w:w="253" w:type="dxa"/>
            <w:tcBorders/>
            <w:vAlign w:val="center"/>
          </w:tcPr>
          <w:p>
            <w:pPr>
              <w:pStyle w:val="TableContents"/>
              <w:bidi w:val="0"/>
              <w:spacing w:before="0" w:after="283"/>
              <w:jc w:val="left"/>
              <w:rPr/>
            </w:pPr>
            <w:r>
              <w:rPr/>
              <w:t>)</w:t>
            </w:r>
          </w:p>
        </w:tc>
        <w:tc>
          <w:tcPr>
            <w:tcW w:w="18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859" w:type="dxa"/>
            <w:tcBorders/>
            <w:vAlign w:val="center"/>
          </w:tcPr>
          <w:p>
            <w:pPr>
              <w:pStyle w:val="TableContents"/>
              <w:bidi w:val="0"/>
              <w:spacing w:before="0" w:after="283"/>
              <w:jc w:val="right"/>
              <w:rPr/>
            </w:pPr>
            <w:r>
              <w:rPr/>
              <w:t>(932</w:t>
            </w:r>
          </w:p>
        </w:tc>
        <w:tc>
          <w:tcPr>
            <w:tcW w:w="240" w:type="dxa"/>
            <w:tcBorders/>
            <w:vAlign w:val="center"/>
          </w:tcPr>
          <w:p>
            <w:pPr>
              <w:pStyle w:val="TableContents"/>
              <w:bidi w:val="0"/>
              <w:spacing w:before="0" w:after="283"/>
              <w:jc w:val="left"/>
              <w:rPr/>
            </w:pPr>
            <w:r>
              <w:rPr/>
              <w:t>)</w:t>
            </w:r>
          </w:p>
        </w:tc>
        <w:tc>
          <w:tcPr>
            <w:tcW w:w="1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(2,207</w:t>
            </w:r>
          </w:p>
        </w:tc>
        <w:tc>
          <w:tcPr>
            <w:tcW w:w="310" w:type="dxa"/>
            <w:tcBorders/>
            <w:vAlign w:val="center"/>
          </w:tcPr>
          <w:p>
            <w:pPr>
              <w:pStyle w:val="TableContents"/>
              <w:bidi w:val="0"/>
              <w:spacing w:before="0" w:after="283"/>
              <w:jc w:val="left"/>
              <w:rPr/>
            </w:pPr>
            <w:r>
              <w:rPr/>
              <w:t>)</w:t>
            </w:r>
          </w:p>
        </w:tc>
      </w:tr>
      <w:tr>
        <w:trPr/>
        <w:tc>
          <w:tcPr>
            <w:tcW w:w="3412" w:type="dxa"/>
            <w:tcBorders/>
            <w:tcMar>
              <w:top w:w="0" w:type="dxa"/>
              <w:left w:w="0" w:type="dxa"/>
              <w:bottom w:w="0" w:type="dxa"/>
              <w:right w:w="0" w:type="dxa"/>
            </w:tcMar>
            <w:vAlign w:val="center"/>
          </w:tcPr>
          <w:p>
            <w:pPr>
              <w:pStyle w:val="TableContents"/>
              <w:bidi w:val="0"/>
              <w:spacing w:before="0" w:after="283"/>
              <w:jc w:val="left"/>
              <w:rPr/>
            </w:pPr>
            <w:r>
              <w:rPr/>
              <w:t>Income taxes</w:t>
            </w:r>
          </w:p>
        </w:tc>
        <w:tc>
          <w:tcPr>
            <w:tcW w:w="18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208</w:t>
            </w:r>
          </w:p>
        </w:tc>
        <w:tc>
          <w:tcPr>
            <w:tcW w:w="253"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70</w:t>
            </w:r>
          </w:p>
        </w:tc>
        <w:tc>
          <w:tcPr>
            <w:tcW w:w="25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859" w:type="dxa"/>
            <w:tcBorders/>
            <w:vAlign w:val="center"/>
          </w:tcPr>
          <w:p>
            <w:pPr>
              <w:pStyle w:val="TableContents"/>
              <w:bidi w:val="0"/>
              <w:spacing w:before="0" w:after="283"/>
              <w:jc w:val="right"/>
              <w:rPr/>
            </w:pPr>
            <w:r>
              <w:rPr/>
              <w:t>328</w:t>
            </w:r>
          </w:p>
        </w:tc>
        <w:tc>
          <w:tcPr>
            <w:tcW w:w="24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227</w:t>
            </w:r>
          </w:p>
        </w:tc>
        <w:tc>
          <w:tcPr>
            <w:tcW w:w="310" w:type="dxa"/>
            <w:tcBorders/>
            <w:vAlign w:val="center"/>
          </w:tcPr>
          <w:p>
            <w:pPr>
              <w:pStyle w:val="TableContents"/>
              <w:bidi w:val="0"/>
              <w:spacing w:before="0" w:after="283"/>
              <w:jc w:val="left"/>
              <w:rPr/>
            </w:pPr>
            <w:r>
              <w:rPr/>
              <w:t> </w:t>
            </w:r>
          </w:p>
        </w:tc>
      </w:tr>
      <w:tr>
        <w:trPr/>
        <w:tc>
          <w:tcPr>
            <w:tcW w:w="3412"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8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239</w:t>
            </w:r>
          </w:p>
        </w:tc>
        <w:tc>
          <w:tcPr>
            <w:tcW w:w="253"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180</w:t>
            </w:r>
          </w:p>
        </w:tc>
        <w:tc>
          <w:tcPr>
            <w:tcW w:w="25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859" w:type="dxa"/>
            <w:tcBorders/>
            <w:vAlign w:val="center"/>
          </w:tcPr>
          <w:p>
            <w:pPr>
              <w:pStyle w:val="TableContents"/>
              <w:bidi w:val="0"/>
              <w:spacing w:before="0" w:after="283"/>
              <w:jc w:val="right"/>
              <w:rPr/>
            </w:pPr>
            <w:r>
              <w:rPr/>
              <w:t>406</w:t>
            </w:r>
          </w:p>
        </w:tc>
        <w:tc>
          <w:tcPr>
            <w:tcW w:w="24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371</w:t>
            </w:r>
          </w:p>
        </w:tc>
        <w:tc>
          <w:tcPr>
            <w:tcW w:w="310" w:type="dxa"/>
            <w:tcBorders/>
            <w:vAlign w:val="center"/>
          </w:tcPr>
          <w:p>
            <w:pPr>
              <w:pStyle w:val="TableContents"/>
              <w:bidi w:val="0"/>
              <w:spacing w:before="0" w:after="283"/>
              <w:jc w:val="left"/>
              <w:rPr/>
            </w:pPr>
            <w:r>
              <w:rPr/>
              <w:t> </w:t>
            </w:r>
          </w:p>
        </w:tc>
      </w:tr>
      <w:tr>
        <w:trPr/>
        <w:tc>
          <w:tcPr>
            <w:tcW w:w="3412" w:type="dxa"/>
            <w:tcBorders/>
            <w:tcMar>
              <w:top w:w="0" w:type="dxa"/>
              <w:left w:w="0" w:type="dxa"/>
              <w:bottom w:w="0" w:type="dxa"/>
              <w:right w:w="0" w:type="dxa"/>
            </w:tcMar>
            <w:vAlign w:val="center"/>
          </w:tcPr>
          <w:p>
            <w:pPr>
              <w:pStyle w:val="TableContents"/>
              <w:bidi w:val="0"/>
              <w:spacing w:before="0" w:after="283"/>
              <w:jc w:val="left"/>
              <w:rPr/>
            </w:pPr>
            <w:r>
              <w:rPr/>
              <w:t>Depreciation of leased systems</w:t>
            </w:r>
          </w:p>
        </w:tc>
        <w:tc>
          <w:tcPr>
            <w:tcW w:w="18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203</w:t>
            </w:r>
          </w:p>
        </w:tc>
        <w:tc>
          <w:tcPr>
            <w:tcW w:w="253"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208</w:t>
            </w:r>
          </w:p>
        </w:tc>
        <w:tc>
          <w:tcPr>
            <w:tcW w:w="25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859" w:type="dxa"/>
            <w:tcBorders/>
            <w:vAlign w:val="center"/>
          </w:tcPr>
          <w:p>
            <w:pPr>
              <w:pStyle w:val="TableContents"/>
              <w:bidi w:val="0"/>
              <w:spacing w:before="0" w:after="283"/>
              <w:jc w:val="right"/>
              <w:rPr/>
            </w:pPr>
            <w:r>
              <w:rPr/>
              <w:t>501</w:t>
            </w:r>
          </w:p>
        </w:tc>
        <w:tc>
          <w:tcPr>
            <w:tcW w:w="24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411</w:t>
            </w:r>
          </w:p>
        </w:tc>
        <w:tc>
          <w:tcPr>
            <w:tcW w:w="310" w:type="dxa"/>
            <w:tcBorders/>
            <w:vAlign w:val="center"/>
          </w:tcPr>
          <w:p>
            <w:pPr>
              <w:pStyle w:val="TableContents"/>
              <w:bidi w:val="0"/>
              <w:spacing w:before="0" w:after="283"/>
              <w:jc w:val="left"/>
              <w:rPr/>
            </w:pPr>
            <w:r>
              <w:rPr/>
              <w:t> </w:t>
            </w:r>
          </w:p>
        </w:tc>
      </w:tr>
      <w:tr>
        <w:trPr/>
        <w:tc>
          <w:tcPr>
            <w:tcW w:w="3412" w:type="dxa"/>
            <w:tcBorders/>
            <w:tcMar>
              <w:top w:w="0" w:type="dxa"/>
              <w:left w:w="0" w:type="dxa"/>
              <w:bottom w:w="0" w:type="dxa"/>
              <w:right w:w="0" w:type="dxa"/>
            </w:tcMar>
            <w:vAlign w:val="center"/>
          </w:tcPr>
          <w:p>
            <w:pPr>
              <w:pStyle w:val="TableContents"/>
              <w:bidi w:val="0"/>
              <w:spacing w:before="0" w:after="283"/>
              <w:jc w:val="left"/>
              <w:rPr/>
            </w:pPr>
            <w:r>
              <w:rPr/>
              <w:t>Cost of share based payment</w:t>
            </w:r>
          </w:p>
        </w:tc>
        <w:tc>
          <w:tcPr>
            <w:tcW w:w="18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667</w:t>
            </w:r>
          </w:p>
        </w:tc>
        <w:tc>
          <w:tcPr>
            <w:tcW w:w="253"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227</w:t>
            </w:r>
          </w:p>
        </w:tc>
        <w:tc>
          <w:tcPr>
            <w:tcW w:w="25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859" w:type="dxa"/>
            <w:tcBorders/>
            <w:vAlign w:val="center"/>
          </w:tcPr>
          <w:p>
            <w:pPr>
              <w:pStyle w:val="TableContents"/>
              <w:bidi w:val="0"/>
              <w:spacing w:before="0" w:after="283"/>
              <w:jc w:val="right"/>
              <w:rPr/>
            </w:pPr>
            <w:r>
              <w:rPr/>
              <w:t>1,008</w:t>
            </w:r>
          </w:p>
        </w:tc>
        <w:tc>
          <w:tcPr>
            <w:tcW w:w="24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552</w:t>
            </w:r>
          </w:p>
        </w:tc>
        <w:tc>
          <w:tcPr>
            <w:tcW w:w="310" w:type="dxa"/>
            <w:tcBorders/>
            <w:vAlign w:val="center"/>
          </w:tcPr>
          <w:p>
            <w:pPr>
              <w:pStyle w:val="TableContents"/>
              <w:bidi w:val="0"/>
              <w:spacing w:before="0" w:after="283"/>
              <w:jc w:val="left"/>
              <w:rPr/>
            </w:pPr>
            <w:r>
              <w:rPr/>
              <w:t> </w:t>
            </w:r>
          </w:p>
        </w:tc>
      </w:tr>
      <w:tr>
        <w:trPr/>
        <w:tc>
          <w:tcPr>
            <w:tcW w:w="3412" w:type="dxa"/>
            <w:tcBorders/>
            <w:tcMar>
              <w:top w:w="0" w:type="dxa"/>
              <w:left w:w="0" w:type="dxa"/>
              <w:bottom w:w="0" w:type="dxa"/>
              <w:right w:w="0" w:type="dxa"/>
            </w:tcMar>
            <w:vAlign w:val="center"/>
          </w:tcPr>
          <w:p>
            <w:pPr>
              <w:pStyle w:val="TableContents"/>
              <w:bidi w:val="0"/>
              <w:spacing w:before="0" w:after="283"/>
              <w:jc w:val="left"/>
              <w:rPr/>
            </w:pPr>
            <w:r>
              <w:rPr/>
              <w:t>Restructuring and litigation Cost</w:t>
            </w:r>
          </w:p>
        </w:tc>
        <w:tc>
          <w:tcPr>
            <w:tcW w:w="18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253"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258</w:t>
            </w:r>
          </w:p>
        </w:tc>
        <w:tc>
          <w:tcPr>
            <w:tcW w:w="25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859" w:type="dxa"/>
            <w:tcBorders/>
            <w:vAlign w:val="center"/>
          </w:tcPr>
          <w:p>
            <w:pPr>
              <w:pStyle w:val="TableContents"/>
              <w:bidi w:val="0"/>
              <w:spacing w:before="0" w:after="283"/>
              <w:jc w:val="right"/>
              <w:rPr/>
            </w:pPr>
            <w:r>
              <w:rPr/>
              <w:t>-</w:t>
            </w:r>
          </w:p>
        </w:tc>
        <w:tc>
          <w:tcPr>
            <w:tcW w:w="24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958" w:type="dxa"/>
            <w:tcBorders/>
            <w:vAlign w:val="center"/>
          </w:tcPr>
          <w:p>
            <w:pPr>
              <w:pStyle w:val="TableContents"/>
              <w:bidi w:val="0"/>
              <w:spacing w:before="0" w:after="283"/>
              <w:jc w:val="right"/>
              <w:rPr/>
            </w:pPr>
            <w:r>
              <w:rPr/>
              <w:t>258</w:t>
            </w:r>
          </w:p>
        </w:tc>
        <w:tc>
          <w:tcPr>
            <w:tcW w:w="310"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pPr>
            <w:r>
              <w:rPr>
                <w:rStyle w:val="StrongEmphasis"/>
              </w:rPr>
              <w:t>Adjusted EBITDA</w:t>
            </w:r>
          </w:p>
        </w:tc>
        <w:tc>
          <w:tcPr>
            <w:tcW w:w="187" w:type="dxa"/>
            <w:tcBorders/>
            <w:vAlign w:val="center"/>
          </w:tcPr>
          <w:p>
            <w:pPr>
              <w:pStyle w:val="TableContents"/>
              <w:bidi w:val="0"/>
              <w:spacing w:before="0" w:after="283"/>
              <w:jc w:val="left"/>
              <w:rPr/>
            </w:pPr>
            <w:r>
              <w:rPr/>
              <w:t> </w:t>
            </w:r>
          </w:p>
        </w:tc>
        <w:tc>
          <w:tcPr>
            <w:tcW w:w="3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9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3,500</w:t>
            </w:r>
          </w:p>
        </w:tc>
        <w:tc>
          <w:tcPr>
            <w:tcW w:w="2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20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3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10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1,451</w:t>
            </w:r>
          </w:p>
        </w:tc>
        <w:tc>
          <w:tcPr>
            <w:tcW w:w="2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8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6,311</w:t>
            </w:r>
          </w:p>
        </w:tc>
        <w:tc>
          <w:tcPr>
            <w:tcW w:w="2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9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2,746</w:t>
            </w:r>
          </w:p>
        </w:tc>
        <w:tc>
          <w:tcPr>
            <w:tcW w:w="3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475" w:type="dxa"/>
            <w:gridSpan w:val="3"/>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581" w:type="dxa"/>
            <w:gridSpan w:val="3"/>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567" w:type="dxa"/>
            <w:gridSpan w:val="3"/>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3011</Words>
  <Characters>16795</Characters>
  <CharactersWithSpaces>20288</CharactersWithSpaces>
  <Paragraphs>1723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