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Zacut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HARTUM STREET, RAD TOWER, 14TH FLOOR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 HAHOTZVIM</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9777516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Brainsway Ltd.</w:t>
              </w:r>
            </w:hyperlink>
            <w:r>
              <w:rPr/>
              <w:t xml:space="preserve"> [ </w:t>
            </w:r>
            <w:r>
              <w:rPr>
                <w:rFonts w:ascii="Times;serif" w:hAnsi="Times;serif"/>
                <w:color w:val="0000FF"/>
                <w:sz w:val="24"/>
                <w:shd w:fill="FFFFFF" w:val="clear"/>
              </w:rPr>
              <w:t>BWAY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(1)(2)</w:t>
            </w:r>
            <w:r>
              <w:rPr/>
              <w:t xml:space="preserve"> </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1,382,865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363,545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Meromei Elran David 2003 Ltd.</w:t>
            </w:r>
            <w:r>
              <w:rPr>
                <w:rFonts w:ascii="Times;serif" w:hAnsi="Times;serif"/>
                <w:color w:val="008000"/>
                <w:position w:val="7"/>
                <w:sz w:val="16"/>
                <w:sz w:val="20"/>
                <w:shd w:fill="FFFFFF" w:val="clear"/>
              </w:rPr>
              <w:t>(3)</w:t>
            </w:r>
            <w:r>
              <w:rPr/>
              <w:t xml:space="preserve">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45,058</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Meromei Elran Ltd.</w:t>
            </w:r>
            <w:r>
              <w:rPr>
                <w:rFonts w:ascii="Times;serif" w:hAnsi="Times;serif"/>
                <w:color w:val="008000"/>
                <w:position w:val="7"/>
                <w:sz w:val="16"/>
                <w:sz w:val="20"/>
                <w:shd w:fill="FFFFFF" w:val="clear"/>
              </w:rPr>
              <w:t>(4)</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695"/>
        <w:gridCol w:w="1223"/>
        <w:gridCol w:w="1130"/>
        <w:gridCol w:w="1329"/>
        <w:gridCol w:w="939"/>
        <w:gridCol w:w="1268"/>
        <w:gridCol w:w="1232"/>
        <w:gridCol w:w="138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03/05/2034</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may be represented by American Depositary Shares, each of which currently represents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figure includes: (i) 1,370,365 ordinary shares held jointly by Dr. Zacut and his spouse, (ii) 6,250 ordinary shares, and (iii) unvested restricted stock units ("RSUs") to receive 6,250 ordinary shares that vest quarterly until March 5, 2028, with each RSU representing a contingent right to receive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Meromei Elran David 2003 Ltd. is wholly owned by the Reporting Person, who serves as its sole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Meromei Elran Ltd. is wholly owned by the Reporting Person, who serves as its sole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Stock options were granted on March 5, 2024, with the remaining options to purchase 12,500 ordinary shares vesting in equal quarterly installments until March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exercise price is NIS 11.17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Zacut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56357" TargetMode="External"/><Relationship Id="rId3" Type="http://schemas.openxmlformats.org/officeDocument/2006/relationships/hyperlink" Target="http://www.sec.gov/cgi-bin/browse-edgar?action=getcompany&amp;CIK=00015050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556</Words>
  <Characters>3036</Characters>
  <CharactersWithSpaces>3539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