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1"/>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199"/>
        <w:spacing w:after="0"/>
        <w:tabs>
          <w:tab w:leader="none" w:pos="11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 _____ to ______</w:t>
      </w:r>
    </w:p>
    <w:p>
      <w:pPr>
        <w:spacing w:after="0" w:line="225" w:lineRule="exact"/>
        <w:rPr>
          <w:sz w:val="24"/>
          <w:szCs w:val="24"/>
          <w:color w:val="auto"/>
        </w:rPr>
      </w:pPr>
    </w:p>
    <w:p>
      <w:pPr>
        <w:ind w:left="940" w:hanging="214"/>
        <w:spacing w:after="0"/>
        <w:tabs>
          <w:tab w:leader="none" w:pos="94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Date of event requiring this shell company report 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001-35165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 Hartum Street, Bynet Building, 3rd Floor, Har HaHotzvim, Jerusalem, 9777518, 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20"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color w:val="auto"/>
        </w:rPr>
        <w:t>Hadar Levy, Senior Vice President, General Manager North America and Interim Chief Financial Officer 300 Knickerbocker Road, Cresskill, New Jersey, 07626 Tel: +1-844-386-7001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class</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44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9"/>
              </w:rPr>
              <w:t>American Depositary Shares, each representing two</w:t>
            </w:r>
          </w:p>
        </w:tc>
        <w:tc>
          <w:tcPr>
            <w:tcW w:w="1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4"/>
              </w:rPr>
              <w:t>BWAY</w:t>
            </w:r>
          </w:p>
        </w:tc>
        <w:tc>
          <w:tcPr>
            <w:tcW w:w="1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5"/>
              </w:rPr>
              <w:t>NASDAQ Global Market</w:t>
            </w:r>
          </w:p>
        </w:tc>
      </w:tr>
      <w:tr>
        <w:trPr>
          <w:trHeight w:val="234"/>
        </w:trPr>
        <w:tc>
          <w:tcPr>
            <w:tcW w:w="4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3"/>
              </w:rPr>
              <w:t>Ordinary Shares (1)</w:t>
            </w: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Ordinary Shares, par value NIS 0.04 per share</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4"/>
              </w:rPr>
              <w:t>BWAY</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Tel Aviv Stock Exchange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Evidenced by American Depositary Receipts.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 22,250,534 Ordinary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19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center"/>
        <w:ind w:left="380" w:right="140"/>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1934.</w:t>
      </w:r>
    </w:p>
    <w:p>
      <w:pPr>
        <w:spacing w:after="0" w:line="13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center"/>
        <w:ind w:left="360"/>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center"/>
        <w:ind w:left="360"/>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ind w:left="280" w:right="240" w:hanging="31"/>
        <w:spacing w:after="0" w:line="34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120" w:right="339" w:bottom="1440" w:gutter="0" w:footer="0" w:header="0"/>
        </w:sectPr>
      </w:pPr>
    </w:p>
    <w:p>
      <w:pPr>
        <w:spacing w:after="0" w:line="87" w:lineRule="exact"/>
        <w:rPr>
          <w:sz w:val="20"/>
          <w:szCs w:val="20"/>
          <w:color w:val="auto"/>
        </w:rPr>
      </w:pPr>
    </w:p>
    <w:p>
      <w:pPr>
        <w:ind w:left="110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420"/>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highlight w:val="black"/>
        </w:rPr>
        <w:t>☒</w:t>
      </w:r>
    </w:p>
    <w:p>
      <w:pPr>
        <w:spacing w:after="0" w:line="58" w:lineRule="exact"/>
        <w:rPr>
          <w:sz w:val="20"/>
          <w:szCs w:val="20"/>
          <w:color w:val="auto"/>
        </w:rPr>
      </w:pPr>
    </w:p>
    <w:p>
      <w:pPr>
        <w:jc w:val="center"/>
        <w:ind w:right="420"/>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pacing w:after="0" w:line="200" w:lineRule="exact"/>
        <w:rPr>
          <w:sz w:val="20"/>
          <w:szCs w:val="20"/>
          <w:color w:val="auto"/>
        </w:rPr>
      </w:pPr>
    </w:p>
    <w:p>
      <w:pPr>
        <w:sectPr>
          <w:pgSz w:w="11900" w:h="16838" w:orient="portrait"/>
          <w:cols w:equalWidth="0" w:num="3">
            <w:col w:w="4680" w:space="720"/>
            <w:col w:w="2400" w:space="720"/>
            <w:col w:w="2720"/>
          </w:cols>
          <w:pgMar w:left="320" w:top="1120" w:right="339" w:bottom="1440" w:gutter="0" w:footer="0" w:header="0"/>
          <w:type w:val="continuous"/>
        </w:sectPr>
      </w:pPr>
    </w:p>
    <w:p>
      <w:pPr>
        <w:spacing w:after="0" w:line="28" w:lineRule="exact"/>
        <w:rPr>
          <w:sz w:val="20"/>
          <w:szCs w:val="20"/>
          <w:color w:val="auto"/>
        </w:rPr>
      </w:pPr>
    </w:p>
    <w:p>
      <w:pPr>
        <w:jc w:val="center"/>
        <w:ind w:left="20" w:right="20"/>
        <w:spacing w:after="0" w:line="229" w:lineRule="exact"/>
        <w:rPr>
          <w:sz w:val="20"/>
          <w:szCs w:val="20"/>
          <w:color w:val="auto"/>
        </w:rPr>
      </w:pPr>
      <w:r>
        <w:rPr>
          <w:rFonts w:ascii="Arial" w:cs="Arial" w:eastAsia="Arial" w:hAnsi="Arial"/>
          <w:sz w:val="18"/>
          <w:szCs w:val="18"/>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8" w:lineRule="exact"/>
        <w:rPr>
          <w:sz w:val="20"/>
          <w:szCs w:val="20"/>
          <w:color w:val="auto"/>
        </w:rPr>
      </w:pPr>
    </w:p>
    <w:p>
      <w:pPr>
        <w:jc w:val="center"/>
        <w:ind w:left="20"/>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Indicate by check mark which basis of accounting the registrant has used to prepare the financial statements included in this filing:</w:t>
      </w:r>
    </w:p>
    <w:p>
      <w:pPr>
        <w:spacing w:after="0" w:line="20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U.S. GAAP </w:t>
      </w:r>
      <w:r>
        <w:rPr>
          <w:rFonts w:ascii="MS PGothic" w:cs="MS PGothic" w:eastAsia="MS PGothic" w:hAnsi="MS PGothic"/>
          <w:sz w:val="18"/>
          <w:szCs w:val="18"/>
          <w:color w:val="auto"/>
          <w:highlight w:val="black"/>
        </w:rPr>
        <w:t>☐</w:t>
      </w:r>
    </w:p>
    <w:p>
      <w:pPr>
        <w:spacing w:after="0" w:line="22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International Financing Reporting Standards as issued by the International Accounting Standards Board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Other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center"/>
        <w:ind w:left="20"/>
        <w:spacing w:after="0" w:line="282" w:lineRule="auto"/>
        <w:rPr>
          <w:sz w:val="20"/>
          <w:szCs w:val="20"/>
          <w:color w:val="auto"/>
        </w:rPr>
      </w:pPr>
      <w:r>
        <w:rPr>
          <w:rFonts w:ascii="Arial" w:cs="Arial" w:eastAsia="Arial" w:hAnsi="Arial"/>
          <w:sz w:val="18"/>
          <w:szCs w:val="18"/>
          <w:b w:val="1"/>
          <w:bCs w:val="1"/>
          <w:color w:val="auto"/>
        </w:rPr>
        <w:t>If “Other” has been checked in response to the previous question, indicate by check mark which financial statement item the registrant has elected to follow.</w:t>
      </w:r>
    </w:p>
    <w:p>
      <w:pPr>
        <w:spacing w:after="0" w:line="133"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Item 18 </w:t>
      </w:r>
      <w:r>
        <w:rPr>
          <w:rFonts w:ascii="MS PGothic" w:cs="MS PGothic" w:eastAsia="MS PGothic" w:hAnsi="MS PGothic"/>
          <w:sz w:val="16"/>
          <w:szCs w:val="16"/>
          <w:color w:val="auto"/>
          <w:highlight w:val="black"/>
        </w:rPr>
        <w: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0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20" w:type="dxa"/>
            <w:vAlign w:val="bottom"/>
            <w:gridSpan w:val="1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76"/>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080" w:type="dxa"/>
            <w:vAlign w:val="bottom"/>
            <w:gridSpan w:val="5"/>
            <w:shd w:val="clear" w:color="auto" w:fill="CCEEFF"/>
          </w:tcPr>
          <w:p>
            <w:pPr>
              <w:jc w:val="center"/>
              <w:ind w:left="81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1080" w:type="dxa"/>
            <w:vAlign w:val="bottom"/>
            <w:gridSpan w:val="5"/>
          </w:tcPr>
          <w:p>
            <w:pPr>
              <w:jc w:val="center"/>
              <w:ind w:left="81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1080" w:type="dxa"/>
            <w:vAlign w:val="bottom"/>
            <w:gridSpan w:val="5"/>
            <w:shd w:val="clear" w:color="auto" w:fill="CCEEFF"/>
          </w:tcPr>
          <w:p>
            <w:pPr>
              <w:jc w:val="center"/>
              <w:ind w:left="81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7"/>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INFORMATION ON THE COMPANY</w:t>
              </w:r>
            </w:hyperlink>
          </w:p>
        </w:tc>
        <w:tc>
          <w:tcPr>
            <w:tcW w:w="1120" w:type="dxa"/>
            <w:vAlign w:val="bottom"/>
            <w:gridSpan w:val="6"/>
          </w:tcPr>
          <w:p>
            <w:pPr>
              <w:jc w:val="center"/>
              <w:ind w:left="770"/>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45</w:t>
              </w:r>
            </w:hyperlink>
          </w:p>
        </w:tc>
        <w:tc>
          <w:tcPr>
            <w:tcW w:w="260" w:type="dxa"/>
            <w:vAlign w:val="bottom"/>
          </w:tcPr>
          <w:p>
            <w:pPr>
              <w:spacing w:after="0"/>
              <w:rPr>
                <w:sz w:val="15"/>
                <w:szCs w:val="15"/>
                <w:color w:val="auto"/>
              </w:rPr>
            </w:pPr>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ITEM 4A.</w:t>
              </w:r>
            </w:hyperlink>
          </w:p>
        </w:tc>
        <w:tc>
          <w:tcPr>
            <w:tcW w:w="380" w:type="dxa"/>
            <w:vAlign w:val="bottom"/>
            <w:gridSpan w:val="4"/>
            <w:shd w:val="clear" w:color="auto" w:fill="CCEEFF"/>
          </w:tcPr>
          <w:p>
            <w:pPr>
              <w:spacing w:after="0"/>
              <w:rPr>
                <w:sz w:val="15"/>
                <w:szCs w:val="15"/>
                <w:color w:val="auto"/>
              </w:rPr>
            </w:pPr>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UNRESOLVED STAFF COMMENTS</w:t>
              </w:r>
            </w:hyperlink>
          </w:p>
        </w:tc>
        <w:tc>
          <w:tcPr>
            <w:tcW w:w="1120" w:type="dxa"/>
            <w:vAlign w:val="bottom"/>
            <w:gridSpan w:val="6"/>
            <w:shd w:val="clear" w:color="auto" w:fill="CCEEFF"/>
          </w:tcPr>
          <w:p>
            <w:pPr>
              <w:jc w:val="center"/>
              <w:ind w:left="770"/>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26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gridSpan w:val="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5.</w:t>
              </w:r>
            </w:hyperlink>
          </w:p>
        </w:tc>
        <w:tc>
          <w:tcPr>
            <w:tcW w:w="380" w:type="dxa"/>
            <w:vAlign w:val="bottom"/>
            <w:gridSpan w:val="4"/>
          </w:tcPr>
          <w:p>
            <w:pPr>
              <w:spacing w:after="0"/>
              <w:rPr>
                <w:sz w:val="15"/>
                <w:szCs w:val="15"/>
                <w:color w:val="auto"/>
              </w:rPr>
            </w:pPr>
          </w:p>
        </w:tc>
        <w:tc>
          <w:tcPr>
            <w:tcW w:w="8720" w:type="dxa"/>
            <w:vAlign w:val="bottom"/>
            <w:gridSpan w:val="28"/>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OPERATING AND FINANCIAL REVIEW AND PROSPECTS</w:t>
              </w:r>
            </w:hyperlink>
          </w:p>
        </w:tc>
        <w:tc>
          <w:tcPr>
            <w:tcW w:w="1120" w:type="dxa"/>
            <w:vAlign w:val="bottom"/>
            <w:gridSpan w:val="6"/>
          </w:tcPr>
          <w:p>
            <w:pPr>
              <w:jc w:val="center"/>
              <w:ind w:left="770"/>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26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6.</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DIRECTORS, SENIOR MANAGEMENT AND EMPLOYEES</w:t>
              </w:r>
            </w:hyperlink>
          </w:p>
        </w:tc>
        <w:tc>
          <w:tcPr>
            <w:tcW w:w="1120" w:type="dxa"/>
            <w:vAlign w:val="bottom"/>
            <w:gridSpan w:val="6"/>
            <w:shd w:val="clear" w:color="auto" w:fill="CCEEFF"/>
          </w:tcPr>
          <w:p>
            <w:pPr>
              <w:jc w:val="center"/>
              <w:ind w:left="770"/>
              <w:spacing w:after="0" w:line="17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90</w:t>
              </w:r>
            </w:hyperlink>
          </w:p>
        </w:tc>
        <w:tc>
          <w:tcPr>
            <w:tcW w:w="260" w:type="dxa"/>
            <w:vAlign w:val="bottom"/>
            <w:shd w:val="clear" w:color="auto" w:fill="CCEEFF"/>
          </w:tcPr>
          <w:p>
            <w:pPr>
              <w:spacing w:after="0"/>
              <w:rPr>
                <w:sz w:val="15"/>
                <w:szCs w:val="15"/>
                <w:color w:val="auto"/>
              </w:rPr>
            </w:pPr>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7"/>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7.</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MAJOR SHAREHOLDERS AND RELATED PARTY TRANSACTIONS</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107</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ITEM 8.</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FINANCIAL INFORMATION</w:t>
              </w:r>
            </w:hyperlink>
          </w:p>
        </w:tc>
        <w:tc>
          <w:tcPr>
            <w:tcW w:w="1120" w:type="dxa"/>
            <w:vAlign w:val="bottom"/>
            <w:gridSpan w:val="6"/>
            <w:shd w:val="clear" w:color="auto" w:fill="CCEEFF"/>
          </w:tcPr>
          <w:p>
            <w:pPr>
              <w:jc w:val="center"/>
              <w:ind w:left="770"/>
              <w:spacing w:after="0" w:line="17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110</w:t>
              </w:r>
            </w:hyperlink>
          </w:p>
        </w:tc>
        <w:tc>
          <w:tcPr>
            <w:tcW w:w="260" w:type="dxa"/>
            <w:vAlign w:val="bottom"/>
            <w:shd w:val="clear" w:color="auto" w:fill="CCEEFF"/>
          </w:tcPr>
          <w:p>
            <w:pPr>
              <w:spacing w:after="0"/>
              <w:rPr>
                <w:sz w:val="15"/>
                <w:szCs w:val="15"/>
                <w:color w:val="auto"/>
              </w:rPr>
            </w:pPr>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ITEM 9.</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THE OFFER AND LISTING</w:t>
              </w:r>
            </w:hyperlink>
          </w:p>
        </w:tc>
        <w:tc>
          <w:tcPr>
            <w:tcW w:w="1120" w:type="dxa"/>
            <w:vAlign w:val="bottom"/>
            <w:gridSpan w:val="6"/>
          </w:tcPr>
          <w:p>
            <w:pPr>
              <w:jc w:val="center"/>
              <w:ind w:left="770"/>
              <w:spacing w:after="0" w:line="17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110</w:t>
              </w:r>
            </w:hyperlink>
          </w:p>
        </w:tc>
        <w:tc>
          <w:tcPr>
            <w:tcW w:w="26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7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ITEM 10.</w:t>
              </w:r>
            </w:hyperlink>
          </w:p>
        </w:tc>
        <w:tc>
          <w:tcPr>
            <w:tcW w:w="420" w:type="dxa"/>
            <w:vAlign w:val="bottom"/>
            <w:gridSpan w:val="5"/>
            <w:shd w:val="clear" w:color="auto" w:fill="CCEEFF"/>
          </w:tcPr>
          <w:p>
            <w:pPr>
              <w:spacing w:after="0"/>
              <w:rPr>
                <w:sz w:val="15"/>
                <w:szCs w:val="15"/>
                <w:color w:val="auto"/>
              </w:rPr>
            </w:pPr>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ADDITIONAL INFORMATION</w:t>
              </w:r>
            </w:hyperlink>
          </w:p>
        </w:tc>
        <w:tc>
          <w:tcPr>
            <w:tcW w:w="1120" w:type="dxa"/>
            <w:vAlign w:val="bottom"/>
            <w:gridSpan w:val="6"/>
            <w:shd w:val="clear" w:color="auto" w:fill="CCEEFF"/>
          </w:tcPr>
          <w:p>
            <w:pPr>
              <w:jc w:val="center"/>
              <w:ind w:left="770"/>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111</w:t>
              </w:r>
            </w:hyperlink>
          </w:p>
        </w:tc>
        <w:tc>
          <w:tcPr>
            <w:tcW w:w="26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gridSpan w:val="2"/>
          </w:tcPr>
          <w:p>
            <w:pPr>
              <w:spacing w:after="0" w:line="176" w:lineRule="exact"/>
              <w:rPr>
                <w:rFonts w:ascii="Arial" w:cs="Arial" w:eastAsia="Arial" w:hAnsi="Arial"/>
                <w:sz w:val="18"/>
                <w:szCs w:val="18"/>
                <w:color w:val="0000EE"/>
                <w:w w:val="95"/>
              </w:rPr>
            </w:pPr>
            <w:hyperlink w:anchor="page132">
              <w:r>
                <w:rPr>
                  <w:rFonts w:ascii="Arial" w:cs="Arial" w:eastAsia="Arial" w:hAnsi="Arial"/>
                  <w:sz w:val="18"/>
                  <w:szCs w:val="18"/>
                  <w:color w:val="0000EE"/>
                  <w:w w:val="95"/>
                </w:rPr>
                <w:t>ITEM 11.</w:t>
              </w:r>
            </w:hyperlink>
          </w:p>
        </w:tc>
        <w:tc>
          <w:tcPr>
            <w:tcW w:w="420" w:type="dxa"/>
            <w:vAlign w:val="bottom"/>
            <w:gridSpan w:val="5"/>
          </w:tcPr>
          <w:p>
            <w:pPr>
              <w:spacing w:after="0"/>
              <w:rPr>
                <w:sz w:val="15"/>
                <w:szCs w:val="15"/>
                <w:color w:val="auto"/>
              </w:rPr>
            </w:pPr>
          </w:p>
        </w:tc>
        <w:tc>
          <w:tcPr>
            <w:tcW w:w="8720" w:type="dxa"/>
            <w:vAlign w:val="bottom"/>
            <w:gridSpan w:val="28"/>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QUANTITATIVE AND QUALITATIVE DISCLOSURES ABOUT MARKET RISK</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125</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7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ITEM 12.</w:t>
              </w:r>
            </w:hyperlink>
          </w:p>
        </w:tc>
        <w:tc>
          <w:tcPr>
            <w:tcW w:w="420" w:type="dxa"/>
            <w:vAlign w:val="bottom"/>
            <w:gridSpan w:val="5"/>
            <w:shd w:val="clear" w:color="auto" w:fill="CCEEFF"/>
          </w:tcPr>
          <w:p>
            <w:pPr>
              <w:spacing w:after="0"/>
              <w:rPr>
                <w:sz w:val="15"/>
                <w:szCs w:val="15"/>
                <w:color w:val="auto"/>
              </w:rPr>
            </w:pPr>
          </w:p>
        </w:tc>
        <w:tc>
          <w:tcPr>
            <w:tcW w:w="5480" w:type="dxa"/>
            <w:vAlign w:val="bottom"/>
            <w:gridSpan w:val="22"/>
            <w:shd w:val="clear" w:color="auto" w:fill="CCEEFF"/>
          </w:tcPr>
          <w:p>
            <w:pPr>
              <w:spacing w:after="0" w:line="17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DESCRIPTION OF SECURITIES OTHER THAN EQUITY SECURITIES</w:t>
              </w:r>
            </w:hyperlink>
          </w:p>
        </w:tc>
        <w:tc>
          <w:tcPr>
            <w:tcW w:w="3240" w:type="dxa"/>
            <w:vAlign w:val="bottom"/>
            <w:gridSpan w:val="6"/>
            <w:shd w:val="clear" w:color="auto" w:fill="CCEEFF"/>
          </w:tcPr>
          <w:p>
            <w:pPr>
              <w:spacing w:after="0"/>
              <w:rPr>
                <w:sz w:val="15"/>
                <w:szCs w:val="15"/>
                <w:color w:val="auto"/>
              </w:rPr>
            </w:pPr>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126</w:t>
              </w:r>
            </w:hyperlink>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gridSpan w:val="2"/>
          </w:tcPr>
          <w:p>
            <w:pPr>
              <w:spacing w:after="0" w:line="17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ITEM 13.</w:t>
              </w:r>
            </w:hyperlink>
          </w:p>
        </w:tc>
        <w:tc>
          <w:tcPr>
            <w:tcW w:w="420" w:type="dxa"/>
            <w:vAlign w:val="bottom"/>
            <w:gridSpan w:val="5"/>
          </w:tcPr>
          <w:p>
            <w:pPr>
              <w:spacing w:after="0"/>
              <w:rPr>
                <w:sz w:val="15"/>
                <w:szCs w:val="15"/>
                <w:color w:val="auto"/>
              </w:rPr>
            </w:pPr>
          </w:p>
        </w:tc>
        <w:tc>
          <w:tcPr>
            <w:tcW w:w="5480" w:type="dxa"/>
            <w:vAlign w:val="bottom"/>
            <w:gridSpan w:val="22"/>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DEFAULTS, DIVIDEND ARREARAGES AND DELINQUENCIES</w:t>
              </w:r>
            </w:hyperlink>
          </w:p>
        </w:tc>
        <w:tc>
          <w:tcPr>
            <w:tcW w:w="3240" w:type="dxa"/>
            <w:vAlign w:val="bottom"/>
            <w:gridSpan w:val="6"/>
          </w:tcPr>
          <w:p>
            <w:pPr>
              <w:spacing w:after="0"/>
              <w:rPr>
                <w:sz w:val="15"/>
                <w:szCs w:val="15"/>
                <w:color w:val="auto"/>
              </w:rPr>
            </w:pPr>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7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ITEM 14.</w:t>
              </w:r>
            </w:hyperlink>
          </w:p>
        </w:tc>
        <w:tc>
          <w:tcPr>
            <w:tcW w:w="420" w:type="dxa"/>
            <w:vAlign w:val="bottom"/>
            <w:gridSpan w:val="5"/>
            <w:shd w:val="clear" w:color="auto" w:fill="CCEEFF"/>
          </w:tcPr>
          <w:p>
            <w:pPr>
              <w:spacing w:after="0"/>
              <w:rPr>
                <w:sz w:val="15"/>
                <w:szCs w:val="15"/>
                <w:color w:val="auto"/>
              </w:rPr>
            </w:pPr>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MATERIAL MODIFICATIONS TO THE RIGHTS OF SECURITY HOLDERS AND USE OF PROCEEDS</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gridSpan w:val="2"/>
          </w:tcPr>
          <w:p>
            <w:pPr>
              <w:spacing w:after="0" w:line="17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ITEM 15.</w:t>
              </w:r>
            </w:hyperlink>
          </w:p>
        </w:tc>
        <w:tc>
          <w:tcPr>
            <w:tcW w:w="420" w:type="dxa"/>
            <w:vAlign w:val="bottom"/>
            <w:gridSpan w:val="5"/>
          </w:tcPr>
          <w:p>
            <w:pPr>
              <w:spacing w:after="0"/>
              <w:rPr>
                <w:sz w:val="15"/>
                <w:szCs w:val="15"/>
                <w:color w:val="auto"/>
              </w:rPr>
            </w:pPr>
          </w:p>
        </w:tc>
        <w:tc>
          <w:tcPr>
            <w:tcW w:w="7860" w:type="dxa"/>
            <w:vAlign w:val="bottom"/>
            <w:gridSpan w:val="27"/>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CONTROLS AND PROCEDURES</w:t>
              </w:r>
            </w:hyperlink>
          </w:p>
        </w:tc>
        <w:tc>
          <w:tcPr>
            <w:tcW w:w="860" w:type="dxa"/>
            <w:vAlign w:val="bottom"/>
          </w:tcPr>
          <w:p>
            <w:pPr>
              <w:spacing w:after="0"/>
              <w:rPr>
                <w:sz w:val="15"/>
                <w:szCs w:val="15"/>
                <w:color w:val="auto"/>
              </w:rPr>
            </w:pPr>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7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ITEM 16.</w:t>
              </w:r>
            </w:hyperlink>
          </w:p>
        </w:tc>
        <w:tc>
          <w:tcPr>
            <w:tcW w:w="420" w:type="dxa"/>
            <w:vAlign w:val="bottom"/>
            <w:gridSpan w:val="5"/>
            <w:shd w:val="clear" w:color="auto" w:fill="CCEEFF"/>
          </w:tcPr>
          <w:p>
            <w:pPr>
              <w:spacing w:after="0"/>
              <w:rPr>
                <w:sz w:val="15"/>
                <w:szCs w:val="15"/>
                <w:color w:val="auto"/>
              </w:rPr>
            </w:pPr>
          </w:p>
        </w:tc>
        <w:tc>
          <w:tcPr>
            <w:tcW w:w="104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135">
              <w:r>
                <w:rPr>
                  <w:rFonts w:ascii="Arial" w:cs="Arial" w:eastAsia="Arial" w:hAnsi="Arial"/>
                  <w:sz w:val="18"/>
                  <w:szCs w:val="18"/>
                  <w:color w:val="0000EE"/>
                  <w:w w:val="93"/>
                </w:rPr>
                <w:t>[RESERVED]</w:t>
              </w:r>
            </w:hyperlink>
          </w:p>
        </w:tc>
        <w:tc>
          <w:tcPr>
            <w:tcW w:w="7680" w:type="dxa"/>
            <w:vAlign w:val="bottom"/>
            <w:gridSpan w:val="25"/>
            <w:shd w:val="clear" w:color="auto" w:fill="CCEEFF"/>
          </w:tcPr>
          <w:p>
            <w:pPr>
              <w:spacing w:after="0"/>
              <w:rPr>
                <w:sz w:val="15"/>
                <w:szCs w:val="15"/>
                <w:color w:val="auto"/>
              </w:rPr>
            </w:pPr>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ITEM 16A.</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AUDIT COMMITTEE FINANCIAL EXPERT</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84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135">
              <w:r>
                <w:rPr>
                  <w:rFonts w:ascii="Arial" w:cs="Arial" w:eastAsia="Arial" w:hAnsi="Arial"/>
                  <w:sz w:val="18"/>
                  <w:szCs w:val="18"/>
                  <w:color w:val="0000EE"/>
                  <w:w w:val="96"/>
                </w:rPr>
                <w:t>ITEM 16B.</w:t>
              </w:r>
            </w:hyperlink>
          </w:p>
        </w:tc>
        <w:tc>
          <w:tcPr>
            <w:tcW w:w="300" w:type="dxa"/>
            <w:vAlign w:val="bottom"/>
            <w:shd w:val="clear" w:color="auto" w:fill="CCEEFF"/>
          </w:tcPr>
          <w:p>
            <w:pPr>
              <w:spacing w:after="0"/>
              <w:rPr>
                <w:sz w:val="15"/>
                <w:szCs w:val="15"/>
                <w:color w:val="auto"/>
              </w:rPr>
            </w:pPr>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CODE OF ETHICS</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6"/>
          </w:tcPr>
          <w:p>
            <w:pPr>
              <w:spacing w:after="0" w:line="17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ITEM 16C.</w:t>
              </w:r>
            </w:hyperlink>
          </w:p>
        </w:tc>
        <w:tc>
          <w:tcPr>
            <w:tcW w:w="300" w:type="dxa"/>
            <w:vAlign w:val="bottom"/>
          </w:tcPr>
          <w:p>
            <w:pPr>
              <w:spacing w:after="0"/>
              <w:rPr>
                <w:sz w:val="15"/>
                <w:szCs w:val="15"/>
                <w:color w:val="auto"/>
              </w:rPr>
            </w:pPr>
          </w:p>
        </w:tc>
        <w:tc>
          <w:tcPr>
            <w:tcW w:w="8720" w:type="dxa"/>
            <w:vAlign w:val="bottom"/>
            <w:gridSpan w:val="28"/>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PRINCIPAL ACCOUNTANT FEES AND SERVICES</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128</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ITEM 16D.</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EXEMPTIONS FROM THE LISTING STANDARDS FOR AUDIT COMMITTEES.</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129</w:t>
              </w:r>
            </w:hyperlink>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6"/>
          </w:tcPr>
          <w:p>
            <w:pPr>
              <w:spacing w:after="0" w:line="17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ITEM 16E.</w:t>
              </w:r>
            </w:hyperlink>
          </w:p>
        </w:tc>
        <w:tc>
          <w:tcPr>
            <w:tcW w:w="300" w:type="dxa"/>
            <w:vAlign w:val="bottom"/>
          </w:tcPr>
          <w:p>
            <w:pPr>
              <w:spacing w:after="0"/>
              <w:rPr>
                <w:sz w:val="15"/>
                <w:szCs w:val="15"/>
                <w:color w:val="auto"/>
              </w:rPr>
            </w:pPr>
          </w:p>
        </w:tc>
        <w:tc>
          <w:tcPr>
            <w:tcW w:w="8720" w:type="dxa"/>
            <w:vAlign w:val="bottom"/>
            <w:gridSpan w:val="28"/>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PURCHASES OF EQUITY SECURITIES BY THE ISSUER AND AFFILIATED PURCHASERS</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129</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ITEM 16F.</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CHANGE IN REGISTRANT’S CERTIFYING ACCOUNTANT</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129</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ITEM 16G.</w:t>
              </w:r>
            </w:hyperlink>
          </w:p>
        </w:tc>
        <w:tc>
          <w:tcPr>
            <w:tcW w:w="8720" w:type="dxa"/>
            <w:vAlign w:val="bottom"/>
            <w:gridSpan w:val="28"/>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CORPORATE GOVERNANCE</w:t>
              </w:r>
            </w:hyperlink>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129</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ITEM 16H.</w:t>
              </w:r>
            </w:hyperlink>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MINE SAFETY DISCLOSURE</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130</w:t>
              </w:r>
            </w:hyperlink>
          </w:p>
        </w:tc>
      </w:tr>
      <w:tr>
        <w:trPr>
          <w:trHeight w:val="21"/>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6"/>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ITEM 17.</w:t>
              </w:r>
            </w:hyperlink>
          </w:p>
        </w:tc>
        <w:tc>
          <w:tcPr>
            <w:tcW w:w="300" w:type="dxa"/>
            <w:vAlign w:val="bottom"/>
          </w:tcPr>
          <w:p>
            <w:pPr>
              <w:spacing w:after="0"/>
              <w:rPr>
                <w:sz w:val="15"/>
                <w:szCs w:val="15"/>
                <w:color w:val="auto"/>
              </w:rPr>
            </w:pPr>
          </w:p>
        </w:tc>
        <w:tc>
          <w:tcPr>
            <w:tcW w:w="2340" w:type="dxa"/>
            <w:vAlign w:val="bottom"/>
            <w:gridSpan w:val="9"/>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FINANCIAL STATEMENTS</w:t>
              </w:r>
            </w:hyperlink>
          </w:p>
        </w:tc>
        <w:tc>
          <w:tcPr>
            <w:tcW w:w="6380" w:type="dxa"/>
            <w:vAlign w:val="bottom"/>
            <w:gridSpan w:val="19"/>
          </w:tcPr>
          <w:p>
            <w:pPr>
              <w:spacing w:after="0"/>
              <w:rPr>
                <w:sz w:val="15"/>
                <w:szCs w:val="15"/>
                <w:color w:val="auto"/>
              </w:rPr>
            </w:pPr>
          </w:p>
        </w:tc>
        <w:tc>
          <w:tcPr>
            <w:tcW w:w="1380" w:type="dxa"/>
            <w:vAlign w:val="bottom"/>
            <w:gridSpan w:val="7"/>
          </w:tcPr>
          <w:p>
            <w:pPr>
              <w:jc w:val="center"/>
              <w:ind w:left="510"/>
              <w:spacing w:after="0" w:line="17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130</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72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ITEM 18.</w:t>
              </w:r>
            </w:hyperlink>
          </w:p>
        </w:tc>
        <w:tc>
          <w:tcPr>
            <w:tcW w:w="420" w:type="dxa"/>
            <w:vAlign w:val="bottom"/>
            <w:gridSpan w:val="5"/>
            <w:shd w:val="clear" w:color="auto" w:fill="CCEEFF"/>
          </w:tcPr>
          <w:p>
            <w:pPr>
              <w:spacing w:after="0"/>
              <w:rPr>
                <w:sz w:val="15"/>
                <w:szCs w:val="15"/>
                <w:color w:val="auto"/>
              </w:rPr>
            </w:pPr>
          </w:p>
        </w:tc>
        <w:tc>
          <w:tcPr>
            <w:tcW w:w="8720" w:type="dxa"/>
            <w:vAlign w:val="bottom"/>
            <w:gridSpan w:val="28"/>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EXHIBITS</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130</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860" w:type="dxa"/>
            <w:vAlign w:val="bottom"/>
            <w:gridSpan w:val="35"/>
          </w:tcPr>
          <w:p>
            <w:pPr>
              <w:spacing w:after="0"/>
              <w:rPr>
                <w:sz w:val="20"/>
                <w:szCs w:val="20"/>
                <w:color w:val="auto"/>
              </w:rPr>
            </w:pPr>
            <w:r>
              <w:rPr>
                <w:rFonts w:ascii="Arial" w:cs="Arial" w:eastAsia="Arial" w:hAnsi="Arial"/>
                <w:sz w:val="18"/>
                <w:szCs w:val="18"/>
                <w:color w:val="auto"/>
              </w:rPr>
              <w:t>GLOSSARY OF TERMS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75"/>
        </w:trPr>
        <w:tc>
          <w:tcPr>
            <w:tcW w:w="9860" w:type="dxa"/>
            <w:vAlign w:val="bottom"/>
            <w:gridSpan w:val="35"/>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EXHIBIT INDEX</w:t>
              </w:r>
            </w:hyperlink>
          </w:p>
        </w:tc>
        <w:tc>
          <w:tcPr>
            <w:tcW w:w="1380" w:type="dxa"/>
            <w:vAlign w:val="bottom"/>
            <w:gridSpan w:val="7"/>
            <w:shd w:val="clear" w:color="auto" w:fill="CCEEFF"/>
          </w:tcPr>
          <w:p>
            <w:pPr>
              <w:jc w:val="center"/>
              <w:ind w:left="510"/>
              <w:spacing w:after="0" w:line="176"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131</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70" w:lineRule="auto"/>
        <w:rPr>
          <w:sz w:val="20"/>
          <w:szCs w:val="20"/>
          <w:color w:val="auto"/>
        </w:rPr>
      </w:pPr>
      <w:r>
        <w:rPr>
          <w:rFonts w:ascii="Arial" w:cs="Arial" w:eastAsia="Arial" w:hAnsi="Arial"/>
          <w:sz w:val="17"/>
          <w:szCs w:val="17"/>
          <w:color w:val="auto"/>
        </w:rPr>
        <w:t>Unless the context otherwise requires, all references to “BrainsWay,” “we,” “us,” “our,” the “Company” and similar designations refer to BrainsWay Ltd., a limited liability company incorporated under the laws of the State of Israel, and its consolidated subsidiaries. The term “including” means “including but not limited to”, whether or not explicitly so stated. The term “NIS” refers to New Israeli Shekels, the lawful currency of the State of Israel, the terms “dollar”, “US$”, “$” or “U.S.” refer to U.S. dollars, the lawful currency of the United States of America. Our functional and presentation currency is the U.S. dollar. Unless otherwise indicated, U.S. dollar amounts herein (other than amounts originally receivable or payable in dollars) have been translated for the convenience of the reader from the original NIS amounts at the representative rate of exchange as of April 16, 2021 ($1 = NIS 3.2810). The dollar amounts presented should not be construed as representing amounts that are receivable or payable in dollars or convertible into dollars, unless otherwise indicated. Foreign currency transactions in currencies other than U.S. dollars are translated in this Annual Report into U.S. dollars using exchange rates in effect at the date of the transactions.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 “BrainsWay” name and design logo are our registered trademarks. Solely for convenience, the trademarks, service marks, and trade names referred to in this Annual Report are without the ® and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Annual Report includes statistics and other data relating to markets, market sizes, and other industry data pertaining to our business that we have obtained from industry publications, surveys, and other information available to us. Industry publications and surveys generally state that the information contained therein has been obtained from sources believed to be reliable. Market data and statistics are inherently predictive,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w:t>
      </w:r>
    </w:p>
    <w:p>
      <w:pPr>
        <w:spacing w:after="0" w:line="4" w:lineRule="exact"/>
        <w:rPr>
          <w:sz w:val="20"/>
          <w:szCs w:val="20"/>
          <w:color w:val="auto"/>
        </w:rPr>
      </w:pPr>
    </w:p>
    <w:p>
      <w:pPr>
        <w:jc w:val="both"/>
        <w:ind w:firstLine="8"/>
        <w:spacing w:after="0" w:line="255"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underlying information was gathered by different methods, and (iii) different assumptions were applied in compiling the data. Accordingly, the market statistics included in this Annual Report should be viewed with caution. We believe that information from these industry publications included in this Annual Report is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the statements under the sections entitled “Item 3. Key Information — Risk Factors,” “Item 4. Information on the Company,” “Item 5. Operating and Financial Review and Prospects” and elsewhere in this Annual Report may include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In addition, the sections of this Annual Report entitled “Item 4. Information on the Company” contain information obtained from independent industry and other sources that we may not have independently validated. You should not put undue reliance on any forward-looking statements. Unless we are required to do so under U.S. federal securities laws or other applicable laws, we do not intend to update or revise any forward-looking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expressed or implied in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existing capital to meet our future capital requirements;</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perception and acceptance of Deep Transcranial Magnetic Stimulation (“</w:t>
      </w:r>
      <w:r>
        <w:rPr>
          <w:rFonts w:ascii="Arial" w:cs="Arial" w:eastAsia="Arial" w:hAnsi="Arial"/>
          <w:sz w:val="18"/>
          <w:szCs w:val="18"/>
          <w:b w:val="1"/>
          <w:bCs w:val="1"/>
          <w:color w:val="auto"/>
        </w:rPr>
        <w:t>Deep TMS</w:t>
      </w:r>
      <w:r>
        <w:rPr>
          <w:rFonts w:ascii="Arial" w:cs="Arial" w:eastAsia="Arial" w:hAnsi="Arial"/>
          <w:sz w:val="18"/>
          <w:szCs w:val="18"/>
          <w:color w:val="auto"/>
        </w:rPr>
        <w:t>”) technology;</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physician and patient satisfaction with the effectiveness, competitive advantages, and benefits of our Deep TMS system;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reimbursement from third-party payers, including insurance companies and Medicare;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Deep TMS, including internationally, by ourselves or through third-party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enhancements to our Deep TMS system through our research and development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manufacture our product candidates for clinical testing;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complete and obtain favorable results from existing clinical trials, and to launch and successfully complete new clinical trials, for Deep TMS indications;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obtain regulatory approvals of Deep TMS and enhancements to our Deep TMS system on our anticipated time frames, or at all;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applicable regulatory approvals and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adequate protection of our intellectual property, including intellectual property licensed to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within the changing market conditions caused by the COVID-19 global pandemic.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sets forth our selected financial data, which is derived from our financial statements prepared in accordance with International Financial Reporting Standards (“IFRS”) as issued by the International Accounting Standards Board. We have derived the selected financial data as of December 31, 2020, 2019, and 2018 and for the years ended December 31, 2020, 2019, and 2018 from our audited financial statements included elsewhere in this Annual Report on Form 20-F. You should read this selected financial data and other information provided in this Annual Report in conjunction with, and is qualified in its entirety by, our historical financial information including “Item 5. Operating and Financial Review and Prospects” and our financial statements and related notes appearing elsewhere in this Annual Report.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operating loss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197"/>
        </w:trPr>
        <w:tc>
          <w:tcPr>
            <w:tcW w:w="6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share(1)</w:t>
            </w: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 average number of Ordinary Shares outstanding – basic and diluted</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22,453,025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20,506,202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16,640,446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40" w:hanging="318"/>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Basic loss per ordinary share and diluted loss per ordinary share are the same because outstanding options and warrants would be anti-dilutive due to our net losses in these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(U.S. Dollars, in thousands)</w:t>
            </w:r>
          </w:p>
        </w:tc>
        <w:tc>
          <w:tcPr>
            <w:tcW w:w="960" w:type="dxa"/>
            <w:vAlign w:val="bottom"/>
            <w:tcBorders>
              <w:bottom w:val="single" w:sz="8" w:color="auto"/>
            </w:tcBorders>
          </w:tcPr>
          <w:p>
            <w:pPr>
              <w:spacing w:after="0"/>
              <w:rPr>
                <w:sz w:val="18"/>
                <w:szCs w:val="18"/>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cash equivalents and short-term deposits</w:t>
            </w:r>
          </w:p>
        </w:tc>
        <w:tc>
          <w:tcPr>
            <w:tcW w:w="2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17,182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21,895</w:t>
            </w:r>
          </w:p>
        </w:tc>
        <w:tc>
          <w:tcPr>
            <w:tcW w:w="6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9,069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38,736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liabilities</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14,516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16,650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(61,581)</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equity</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24,220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6,952</w:t>
            </w:r>
          </w:p>
        </w:tc>
      </w:tr>
      <w:tr>
        <w:trPr>
          <w:trHeight w:val="634"/>
        </w:trPr>
        <w:tc>
          <w:tcPr>
            <w:tcW w:w="4480" w:type="dxa"/>
            <w:vAlign w:val="bottom"/>
          </w:tcPr>
          <w:p>
            <w:pPr>
              <w:spacing w:after="0"/>
              <w:rPr>
                <w:sz w:val="24"/>
                <w:szCs w:val="24"/>
                <w:color w:val="auto"/>
              </w:rPr>
            </w:pPr>
          </w:p>
        </w:tc>
        <w:tc>
          <w:tcPr>
            <w:tcW w:w="2500" w:type="dxa"/>
            <w:vAlign w:val="bottom"/>
          </w:tcPr>
          <w:p>
            <w:pPr>
              <w:jc w:val="right"/>
              <w:ind w:right="12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8"/>
        </w:trPr>
        <w:tc>
          <w:tcPr>
            <w:tcW w:w="4480" w:type="dxa"/>
            <w:vAlign w:val="bottom"/>
            <w:shd w:val="clear" w:color="auto" w:fill="000000"/>
          </w:tcPr>
          <w:p>
            <w:pPr>
              <w:spacing w:after="0"/>
              <w:rPr>
                <w:sz w:val="5"/>
                <w:szCs w:val="5"/>
                <w:color w:val="auto"/>
              </w:rPr>
            </w:pPr>
          </w:p>
        </w:tc>
        <w:tc>
          <w:tcPr>
            <w:tcW w:w="2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You should carefully consider the risks we describe below, in addition to the other information set forth elsewhere in this Annual Report, including our financial statements and the related notes beginning on page F-1, before deciding to invest in our ordinary shares (the “Ordinary Shares”) or our American Depositary Shares (“ADSs”). The risks and uncertainties described below in this annual report on Form 20-F for the year ended December 31, 2020 are not the only risks facing us. We may face additional risks and uncertainties not currently known to us or that we currently deem to be immaterial. Any of the risks described below or incorporated by reference in this Form 20-F, and any such additional risks, could materially adversely affect our reputation, business, financial condition or results of operations. In such case,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some of the principal risks we face. The list below is not exhaustive, and investors should read this “Risk factors” section in full.</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additional losses in the future and may never be profitable.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ensure that our existing capital will be sufficient to meet our capital requirements.</w:t>
      </w:r>
    </w:p>
    <w:p>
      <w:pPr>
        <w:spacing w:after="0" w:line="9"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shareholders, restrict our operations or require us to relinquish rights to our technologies or product candidate(s).</w:t>
      </w:r>
    </w:p>
    <w:p>
      <w:pPr>
        <w:ind w:left="660" w:right="1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depends on Deep TMS as a treatment option for patients, as well as market perception and acceptance of TMS generally, and patient satisfaction with the effectiveness of Deep TMS.</w:t>
      </w:r>
    </w:p>
    <w:p>
      <w:pPr>
        <w:ind w:left="660" w:right="5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long-term growth depends on our ability to increase market penetration and further commercialize Deep TMS, as well as develop enhancements and features to the Deep TMS system through our research and development efforts. If we fail to do so, we may be unable to achieve future growth.</w:t>
      </w:r>
    </w:p>
    <w:p>
      <w:pPr>
        <w:spacing w:after="0" w:line="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very competitive environment and if we are unable to compete successfully against our existing or potential competitors, our revenues and operating results may be negatively affected.</w:t>
      </w:r>
    </w:p>
    <w:p>
      <w:pPr>
        <w:ind w:left="660" w:right="4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adequately train physicians and other treatment providers and operators on the safe and appropriate use of our Deep TMS systems, we may be unable to achieve our expected growth.</w:t>
      </w:r>
    </w:p>
    <w:p>
      <w:pPr>
        <w:ind w:left="660" w:right="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secure or maintain adequate coverage and reimbursement of our Deep TMS system for the currently authorized indications and other indications for which we obtain FDA authorization in the future, if any, may make physicians reluctant to use or recommend Deep TMS and have a material adverse effect on our sales, results of operations, and financial condition.</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third-party suppliers for some components used in manufacturing Deep TMS, and we may be unable to immediately transition to alternative parties for these components.</w:t>
      </w: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and in the future, expect to rely on a network of third-party distributors to market and distribute our products internationally, and if we are unable to maintain and expand this network, we may be unable to generate anticipated revenues.</w:t>
      </w:r>
    </w:p>
    <w:p>
      <w:pPr>
        <w:ind w:left="660" w:right="26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trials involve a lengthy and expensive process with an uncertain outcome, which may delay or cause us to abandon the development of Deep TMS for additional indications.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328" w:right="40" w:hanging="328"/>
        <w:spacing w:after="0" w:line="25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in part on third parties to conduct our clinical trials. If these third parties fail to perform their duties on time or as expected, we may not be able to obtain regulatory authorization for additional indications that we may seek for Deep TMS.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collaboration arrangements may not be successful, which could adversely affect our ability to develop and commercialize our products.</w:t>
      </w:r>
    </w:p>
    <w:p>
      <w:pPr>
        <w:spacing w:after="0" w:line="20" w:lineRule="exact"/>
        <w:rPr>
          <w:rFonts w:ascii="Arial" w:cs="Arial" w:eastAsia="Arial" w:hAnsi="Arial"/>
          <w:sz w:val="17"/>
          <w:szCs w:val="17"/>
          <w:color w:val="auto"/>
        </w:rPr>
      </w:pPr>
    </w:p>
    <w:p>
      <w:pPr>
        <w:ind w:left="328"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our business may be harmed, and we may be required to pay damages that exceed our insurance coverage.</w:t>
      </w: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insurance policies protect us only from some business risks, which will leave us exposed to significant uninsured liabilities.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operations could be affected by the COVID-19 global pandemic.</w:t>
      </w:r>
    </w:p>
    <w:p>
      <w:pPr>
        <w:spacing w:after="0" w:line="9" w:lineRule="exact"/>
        <w:rPr>
          <w:rFonts w:ascii="Arial" w:cs="Arial" w:eastAsia="Arial" w:hAnsi="Arial"/>
          <w:sz w:val="18"/>
          <w:szCs w:val="18"/>
          <w:color w:val="auto"/>
        </w:rPr>
      </w:pPr>
    </w:p>
    <w:p>
      <w:pPr>
        <w:ind w:left="328" w:right="22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could adversely affect our business and harm our reputation and ability to provide our services on a timely basis.</w:t>
      </w: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experience significant disruptions in our information technology systems, our business may be adversely affected.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the use of technology and may become subject to cyber-terrorism or other compromises and shut-downs.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and privacy breaches may expose us to liability and harm our reputation and business.</w:t>
      </w:r>
    </w:p>
    <w:p>
      <w:pPr>
        <w:spacing w:after="0" w:line="9" w:lineRule="exact"/>
        <w:rPr>
          <w:rFonts w:ascii="Arial" w:cs="Arial" w:eastAsia="Arial" w:hAnsi="Arial"/>
          <w:sz w:val="18"/>
          <w:szCs w:val="18"/>
          <w:color w:val="auto"/>
        </w:rPr>
      </w:pPr>
    </w:p>
    <w:p>
      <w:pPr>
        <w:ind w:left="328" w:right="2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 w:lineRule="exact"/>
        <w:rPr>
          <w:rFonts w:ascii="Arial" w:cs="Arial" w:eastAsia="Arial" w:hAnsi="Arial"/>
          <w:sz w:val="18"/>
          <w:szCs w:val="18"/>
          <w:color w:val="auto"/>
        </w:rPr>
      </w:pPr>
    </w:p>
    <w:p>
      <w:pPr>
        <w:ind w:left="328" w:right="12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 regulation and oversight both in the United States and abroad, and our failure to comply with applicable requirements could harm our business.</w:t>
      </w:r>
    </w:p>
    <w:p>
      <w:pPr>
        <w:ind w:left="328" w:right="20" w:hanging="328"/>
        <w:spacing w:after="0" w:line="265"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receive the necessary regulatory clearances or approvals to market our product for other proposed indications in the future, and failure to timely obtain necessary clearances or approvals for such future indications would adversely affect our ability to grow our business.</w:t>
      </w:r>
    </w:p>
    <w:p>
      <w:pPr>
        <w:ind w:left="328" w:right="70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Modifications to our Deep TMS systems may require new 510(k) clearances, de novo classification or PMA, and may require us to cease marketing or recall the modified products until authorizations are obtained.</w:t>
      </w:r>
    </w:p>
    <w:p>
      <w:pPr>
        <w:ind w:left="328" w:right="38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must be manufactured in accordance with federal and state regulations, and we could be forced to recall our installed systems or terminate production if we fail to comply with these regulations.</w:t>
      </w:r>
    </w:p>
    <w:p>
      <w:pPr>
        <w:ind w:left="328" w:right="18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treatment guidelines for the clinical conditions we are targeting change or the standard of care evolves, we may need to redesign and seek new marketing authorization from the FDA for one or more of our products.</w:t>
      </w:r>
    </w:p>
    <w:p>
      <w:pPr>
        <w:jc w:val="both"/>
        <w:ind w:left="328" w:right="6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 w:lineRule="exact"/>
        <w:rPr>
          <w:rFonts w:ascii="Arial" w:cs="Arial" w:eastAsia="Arial" w:hAnsi="Arial"/>
          <w:sz w:val="18"/>
          <w:szCs w:val="18"/>
          <w:color w:val="auto"/>
        </w:rPr>
      </w:pPr>
    </w:p>
    <w:p>
      <w:pPr>
        <w:ind w:left="328" w:right="14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 w:lineRule="exact"/>
        <w:rPr>
          <w:rFonts w:ascii="Arial" w:cs="Arial" w:eastAsia="Arial" w:hAnsi="Arial"/>
          <w:sz w:val="18"/>
          <w:szCs w:val="18"/>
          <w:color w:val="auto"/>
        </w:rPr>
      </w:pPr>
    </w:p>
    <w:p>
      <w:pPr>
        <w:ind w:left="328" w:right="10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or our distributors do not obtain and maintain international regulatory registrations or approvals for Deep TMS, we will be unable to market and sell our products outside of the United States.</w:t>
      </w:r>
    </w:p>
    <w:p>
      <w:pPr>
        <w:ind w:left="328" w:right="34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 w:lineRule="exact"/>
        <w:rPr>
          <w:rFonts w:ascii="Arial" w:cs="Arial" w:eastAsia="Arial" w:hAnsi="Arial"/>
          <w:sz w:val="18"/>
          <w:szCs w:val="18"/>
          <w:color w:val="auto"/>
        </w:rPr>
      </w:pPr>
    </w:p>
    <w:p>
      <w:pPr>
        <w:ind w:left="328" w:right="46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Healthcare policy changes, including recently enacted legislation reforming the U.S. healthcare system, could harm our cash flows, financial condition, and results of operations.</w:t>
      </w:r>
    </w:p>
    <w:p>
      <w:pPr>
        <w:ind w:left="328" w:right="200" w:hanging="328"/>
        <w:spacing w:after="0" w:line="250"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our intellectual property, and our future success is dependent on our ability to protect our intellectual property and not infringe on the rights of others.</w:t>
      </w: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lives of our patents may not be sufficient to effectively protect our products and business.</w:t>
      </w: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8" w:name="page9"/>
    <w:bookmarkEnd w:id="8"/>
    <w:p>
      <w:pPr>
        <w:ind w:left="660" w:right="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to the essential intellectual property upon which the Deep TMS technology is based results from in-license agreements with government agencies and research institutions, the termination of which would prevent us from commercializing Deep TMS.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license agreements for our critical patents and related intellectual property impose significant monetary obligations and other requirements that may adversely affect our ability to successfully execute our business plan.</w:t>
      </w:r>
    </w:p>
    <w:p>
      <w:pPr>
        <w:ind w:left="660" w:right="2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key patents that underlie our Deep TMS technology are subject to the U.S. government’s royalty free usage rights on a worldwide basis for any discovery based on such patents, which may have unexpected, adverse consequences upon the market for our product.</w:t>
      </w:r>
    </w:p>
    <w:p>
      <w:pPr>
        <w:ind w:left="660" w:right="2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or know-how, such proprietary information may be used by others to compete against us.</w:t>
      </w:r>
    </w:p>
    <w:p>
      <w:pPr>
        <w:ind w:left="660" w:right="3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proceedings or third-party claims of intellectual property infringement and other challenges may require us to spend substantial time and money and could prevent us from developing or commercializing Deep TMS.</w:t>
      </w:r>
    </w:p>
    <w:p>
      <w:pPr>
        <w:ind w:left="660" w:right="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Israeli government grants that we have received require us to meet several conditions and may restrict our ability to manufacture our Deep TMS systems and transfer relevant know-how outside of Israel and require us to pay royalties and satisfy specified conditions, including increased royalties if we manufacture our Deep TMS systems outside of Israel or payment of a redemption fee if we transfer relevant know-how outside of Israel.</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if we are involved in opposition proceedings in foreign countries, we may have to expend substantial sums and management resources.</w:t>
      </w:r>
    </w:p>
    <w:p>
      <w:pPr>
        <w:ind w:left="660" w:right="3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manufacturing, assembly and other significant functions are located in Israel and, therefore, our business and operations may be adversely affected by political, economic and military conditions in Israel.</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Exchange rate fluctuations between the U.S. dollar, the New Israeli Shekel and other foreign currencies may negatively affect our future revenues.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of the ADSs may be volatile and may fluctuate due to factors beyond our control.</w:t>
      </w:r>
    </w:p>
    <w:p>
      <w:pPr>
        <w:spacing w:after="0" w:line="9" w:lineRule="exact"/>
        <w:rPr>
          <w:rFonts w:ascii="Arial" w:cs="Arial" w:eastAsia="Arial" w:hAnsi="Arial"/>
          <w:sz w:val="18"/>
          <w:szCs w:val="18"/>
          <w:color w:val="auto"/>
        </w:rPr>
      </w:pPr>
    </w:p>
    <w:p>
      <w:pPr>
        <w:ind w:left="660" w:right="40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share ownership position of our officers, directors, and entities affiliated with certain of our directors may limit your ability to influence corporate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incur additional losses in the future and may never be profitable.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incurred net losses since our inception, largely reflecting research and development, general and administrative expenses, and sales and marketing expenses. We have experienced net losses of $5.4 million and $10.3 million for the years ended December 31, 2020 and 2019, respectively. As a result of ongoing losses, as of December 31, 2020, we had an accumulated deficit of $77.3 million. While we have sold and leased Deep TMS systems in various markets over the last few years, primarily for Major Depressive Disorder (MDD) and recently also for Obsessive-Compulsive Disorder (OCD), we expect to continue to incur significant sales and marketing, product development, regulatory and other expenses as we continue to expand our commercialization efforts to increase adoption of Deep TMS and expand existing relationships with our customers, to obtain regulatory clearances or approvals for Deep TMS in additional countries and for additional indications, and to develop new enhancements or features to our existing Deep TMS systems. Furthermore, our general and administrative expenses increased following our offering of ADSs on The Nasdaq Global Market, or Nasdaq, in April 2019 due to the increased costs associated with being a public company in the United States. The net losses we incur may fluctuate significantly from period to period. We will need to generate additional revenues to achieve and sustain profitability, and even if we achieve profitability, we cannot be sure that we will remain profitable for any substantial period of time. Our failure to achieve or maintain profitability could negatively impact the value of the ADSs.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ensure that our existing capital will be sufficient to meet our capital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existing capital, other sources of liquidity will be sufficient to meet our capital requirements. To date we have funded our operations primary through offerings of our securities, research and development grants from the Israel Innovation Authority and other sources, a loan under our credit facility which has been repaid, and a Payment Protection Program loan through the Unites States Small Business Administration which has been forgiven. We expect to generate revenues primarily through sales and lease income generated by the commercial distribution of Deep TMS systems for approved indications.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The adequacy of our available funds to meet our operating and capital requirements will depend on many factors, including our ability to achieve revenue growth and maintain favorable operating margins; our ability to increase the market share of Deep TMS and expand our operations and offerings, including our sales and marketing efforts; the cost, progress and results of our future research, product development and clinical programs for additional enhancements to Deep TMS and future indications for the system; the costs and timing of obtaining regulatory approvals for future indications of Deep TMS; our ability to improve or maintain coverage and reimbursement arrangements with third-party and government payers; the terms and conditions of commercial agreements for marketing and distribution of Deep TMS; the effect of competing technological and market developments; and costs incurred in enforcing and defending certain of the patents and other intellectual property rights upon which our technologies are based, to the extent such rights are challenged.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be certain that in the future alternative financing sources will be available to us at such times or in the amounts we need or whether we can negotiate commercially reasonable terms or at all, or that our actual cash requirements will not be greater than anticipated. Any issuance of additional equity or equity-linked securities could be dilutive to our existing shareholders, and any new equity securities could have rights, preferences, and privileges superior to those of holders of the ADSs. Additional debt financing, if available, may involve covenants restricting our operations or our ability to incur additional debt, pay dividends, repurchase our shares, make investments and engage in merger, consolidation or asset sale transactions. If we are unable to obtain future financing through the methods we described above or through other means, our business may be materially impaired and we may be unable to complete our business objectives and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Deep TMS as a treatment option for patients, as well as market perception and acceptance of TMS generally.</w:t>
      </w:r>
    </w:p>
    <w:p>
      <w:pPr>
        <w:spacing w:after="0" w:line="3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business depends entirely on the success of Deep TMS, our proprietary TMS solution. TMS is an emerging treatment option for patients. As a result, physician and patient awareness of TMS therapy as a treatment option for applicable brain disorders, and experience with TMS therapies, is limited. Because the market for TMS therapy is still developing and contains a limited number of market participants, sales of Deep TMS could be negatively impacted by unfavorable market reactions to TMS generally or to Deep TMS in particular. For example, in June 2018 researchers in medical centers of the U.S. Veterans Affairs reported research findings that showed that approximately 40% of the 81 patients with treatment-resistant major depression achieved remission in a randomized trial of a competitor’s TMS device, but the rate was virtually the same with sham treatments versus active stimulation. If the use of our Deep TMS system or other TMS therapies results in serious adverse events (e.g., seizures), or such products malfunction or are misused, patients and physicians may attribute such negative events to all TMS solutions generally, which may adversely affect market adoption of Deep TMS. In addition, if patients undergoing treatment with any available TMS solutions perceive the benefits to be inadequate or the administration of TMS to be too burdensome or inconvenient, and/or if adverse events and/or factors such as discomfort and noise with available TMS solutions are too numerous or severe compared to the relevant rates of alternative therapies or pharmaceutical options, it will be difficult to demonstrate the value of Deep TMS to patients and physicians. Additionally, psychiatrists may find it difficult to train existing employees and/or hire additional staff, allocate sufficient space or operate our device given that psychiatry is a field not traditionally associated with medical equipment treatment options. As a result of any one or a combination of these reasons, demand for and the use of Deep TMS may decline or may not increase at the pace or to the levels we expect. These reported findings may have a negative effect on market perception of the effectiveness of the TMS therapy in general, and by extension Deep TMS.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Even if TMS therapy is widely accepted by physicians and patients, our success will depend in large part on our ability to educate and train physicians and patients, and to successfully demonstrate the safety, tolerability, ease of use, efficacy, cost effectiveness and other advantages of Deep TMS. We have been engaging in an active marketing campaign to raise awareness of Deep TMS and its benefits, but we cannot assure that these efforts will be successful or that they will not prove to be too costly. Physicians may find patient set up and the subsequent procedures for future treatment sessions to be difficult or complicated compared to competing treatment methods. Any of these factors could slow market adoption of Deep TMS.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381" w:lineRule="auto"/>
        <w:rPr>
          <w:sz w:val="20"/>
          <w:szCs w:val="20"/>
          <w:color w:val="auto"/>
        </w:rPr>
      </w:pPr>
      <w:r>
        <w:rPr>
          <w:rFonts w:ascii="Arial" w:cs="Arial" w:eastAsia="Arial" w:hAnsi="Arial"/>
          <w:sz w:val="15"/>
          <w:szCs w:val="15"/>
          <w:b w:val="1"/>
          <w:bCs w:val="1"/>
          <w:i w:val="1"/>
          <w:iCs w:val="1"/>
          <w:color w:val="auto"/>
        </w:rPr>
        <w:t>Our long-term growth depends on our ability to increase market penetration and further commercialize Deep TMS, as well as develop enhancements and features to the Deep TMS system through our research and development efforts. If we fail to do so, we may be unable to achieve future growth.</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strategy depends on our ability to further commercialize and increase market penetration of Deep TMS for MDD, OCD, and smoking addiction, develop and seek regulatory approvals of Deep TMS for new indications and add new enhancements or features for the Deep TMS system. These goals are also designed to respond to changing customer demands, competitive pressures, and technologies. Our industry is characterized by intense competition, including from existing treatments (e.g., anti-depressant medications), a growing number of Traditional TMS competitors, rapid technological changes, new product introductions and enhancements, price competition, and evolving industry standards. It is important that we anticipate changes in technology and market demand, as well as physician practices to successfully develop, obtain clearance or approval, if required, and successfully introduce new, enhanced, and competitive technologies to meet our prospective customers’ needs on a timely and cost-effective basis.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might be unable to further commercialize Deep TMS for approved indications or develop or obtain regulatory clearances or approvals to market Deep TMS for new indications, or to develop and obtain regulatory approvals for enhancements or new features for the Deep TMS system. Additionally, Deep TMS for MDD, OCD, smoking addiction, and any future indications, even if cleared, might not be accepted by physicians or the third-party payers who reimburse for the procedures performed with our products. Our risk share pricing model to capture increased market share may also not be successful, and we may be unable to devise new pricing strategies that are attractive to customers. The success of any new indications, enhancements or features for the Deep TMS system will depend on numerous additional factors, including our ability to:</w:t>
      </w:r>
    </w:p>
    <w:p>
      <w:pPr>
        <w:spacing w:after="0" w:line="178" w:lineRule="exact"/>
        <w:rPr>
          <w:sz w:val="20"/>
          <w:szCs w:val="20"/>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benefits associated with the use of Deep TMS when compared to the products and devices of our competitors;</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safety and efficacy of new indications, and obtain regulatory approvals of Deep TMS for such indications;</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 and</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the necessary regulatory clearances or approvals for enhancements or features for the Deep TMS system.</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do not develop and obtain regulatory clearances or approvals for new indications, enhancements or features in time to meet market demand, or if there is insufficient demand for these indications, enhancements or features, our results of operations will suffer. Our research and development efforts may require a substantial investment of time and resources before we are adequately able to determine the commercial viability of a new indication for Deep TMS, any enhancements to the Deep TMS system or any other innovation. In addition, even if we are able to develop enhancements or new features for Deep TMS, these enhancements or features may not produce sales in excess of the costs of development and they may be quickly rendered obsolete by changing customer preferences or the introduction by our competitors of products embodying new technologies or enhancements or features.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we must carefully manage our introduction of new indications. If potential customers believe such indications will offer enhanced enhancements or features or would be available at a more attractive price, they may delay purchases until such indications are available. We may also have excess or obsolete inventory as we transition to indications, and we have limited experience in managing product transitions.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success also depends upon patient satisfaction with the effectiveness of Deep TMS.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generate significant revenues from Deep TMS, patients must be satisfied with the effectiveness of Deep TMS. We train our physician customers to properly diagnose patient candidates and select the appropriate patient candidates for treatment using the Deep TMS system, explain to their patients the time-period over which the results from a treatment course can be expected to occur, and measure the success of treatments using medical guidelines. However, our physician customers may not properly diagnose or select appropriate patient candidates for Deep TMS treatment, which may produce results that do not meet patients’ expectations. To the extent physicians do not make the proper measurements for a specific patient or use the same procedures at each treatment session, it could result in variability of the treatment efficacy and results for the patient. If patients are not satisfied with the results of Deep TMS, our reputation, and future results of operations may be adversely affected.</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revenues and operating results may be negatively affected.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Deep TMS systems for MDD, OCD, smoking addiction, and any future indications are or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and obtain regulatory clearances of Deep TMS for indications that reach the market in a timely manner, to receive adequate coverage and reimbursement from third-party payers, and to successfully demonstrate to physicians and patients the merits of Deep TMS compared to the products of our competitors. If we are not successful in convincing others of the merits of Deep TMS or educating them on the use of the Deep TMS system, they may not use our system or use them effectively and we may be unable to increase our revenues.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Deep TMS competes with several existing Traditional TMS competitors, including Neuronetics, Magventure, MAG &amp; More, CloudTMS, Magstim, and Nexstim. Competing TMS therapy companies have developed or may develop treatments that can be administered for shorter time periods or may develop treatments that have improved efficacy when compared to our products or that require a less significant investment of resources from physicians. For instance, several Traditional TMS competitors have received FDA clearance for a TMS treatment protocol that can be administered within a shorter time period than the currently cleared protocol for Deep TMS. In addition, psychiatrists and other customers may not be able to easily compare Deep TMS to our focal TMS competitors given the limited data from head-to-head studies.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face competition from pharmaceutical and other companies, many of which have greater resources than we do, that develop competitive products, such as anti-depressant medications (including but not limited to a nasal spray utilizing the drug esketamine, which was recently approved by the FDA for use in conjunction with an oral antidepressant) and to a lesser degree, ECT, and other neuromodulation treatment options. Our commercial opportunity could be reduced or eliminated if these competitors develop and commercialize anti-depressant medications or other treatments that are safer or more effective than Deep TMS, or are offered at more competitive prices, are more easily administered to patients or are otherwise more attractive to our customers and patients. At any time, these and other potential market entrants may develop treatment alternatives that may make Deep TMS less competitive.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note that competition varies based on the indication, and some of the indications we are advancing may face marketability challenges based on existing treatment options. For example, there are a variety of smoking cessation products currently available on the market, including nicotine patch treatment. Electronic cigarettes, or e-cigarettes, are also widely available substitutes for tobacco smoking. Deep TMS for smoking cessation may not be a marketable alternative to these existing options.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In addition, we compete with our competitors to engage the services of independent distributors outside the United States, both those presently working with us and those with whom we hope to work as we expand.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color w:val="auto"/>
        </w:rPr>
        <w:t>Furthermore, our competitors may be seeking predicate FDA approvals in other psychiatric and neurological indications, and TMS products of various companies are frequently used off-label, and in certain circumstances, are marketed outside of the United States for other indications.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the potential for both TMS competitors or other medical device or pharmaceutical companies to introduce new and disruptive products or forms of therapy can significantly impact our financial performance and ability to compete.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adequately train physicians and other treatment providers and operators on the safe and appropriate use of our Deep TMS systems, we may be unable to achieve our expected growth.</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learning process involved for treatment providers to become proficient in the use of our Deep TMS systems, which requires us to spend considerable time and resources for training. It is critical to the success of our commercialization efforts to train a sufficient number of physicians and to provide them with adequate, ongoing instruction and training in the use of our Deep TMS systems. This training process generally requires physicians to review and study product materials and engage in hands-on training sessions. This training process may also take longer than expected or be more complicated than the physicians or their personnel are comfortable with and may therefore affect our ability to increase sales. Convincing physicians to dedicate the time and energy necessary for adequate training is challenging, and we may not be successful in these efforts.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use of our Deep TMS system to treat OCD requires a special procedure to provoke the patient to exhibit symptoms of OCD while the patient is treated with Deep TMS. This procedure requires special training, and may make the treatment more difficult to apply than alternative treatments, as the treatment must be tailored for the condition of each patient. As a result, this may lead to a variability of the overall results and between patients, which could discourage use of Deep TMS for OCD. In addition, if the physicians and operators do not apply the treatment of OCD patients properly or experience difficulties in the use of the system for OCD, this could reduce the level of satisfaction with this system for OCD, and adversely affect our revenues and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forecast our future growth accurately.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be unable to predict future growth related to Deep TMS for MDD, OCD, smoking addiction, and other psychiatric indications because some of these disorders are inherently difficult to diagnose and there are frequent co-morbidities (overlap) in these disorders that complicate treatment methods. Diagnosis for psychiatric disorders, such as MDD and OCD, is based on an individual’s reported experiences and mental status examination, and accordingly is subject to significant error. For example, it is estimated that about half of the individuals in the United States who experience a major depressive episode annually are not diagnosed correctly. In addition, there is a rising trend in which primary care providers, rather than mental health professionals, prescribe anti-depressant medications. Primary care providers often prescribe anti-depressants without a psychiatric diagnosis of disease. In 73% of visits in which a primary care provider prescribed an anti-depressant, patients did not have a psychiatric diagnosis. Without a psychiatric diagnosis, treatment cannot be tailored to the underlying condition. Accordingly, a significant portion of MDD patients that are considered treatment-resistant may be unresponsive to first-line treatment as a result of incorrect diagnosis, and any such patients may not respond to Deep TMS treatment. In addition, the H-Coils for our Deep TMS systems may prove to be interchangeable and clinicians may be able to treat patients with multiple disorders in the same procedure. With respect to comorbidities, there is a high rate of tobacco use amongst patients suffering from mental health conditions such as depression and anxiety. Approximately 3 of every 10 cigarettes smoked by adults in the United States are smoked by persons with mental health conditions. As a result of the foregoing factors, the addressable market for Deep TMS for MDD, OCD, and smoking addiction, may be smaller than we currently anticipate, and predictions for our future growth may prove to be inaccurate. This may have a materially adverse effect on our future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 which could make it difficult to execute our business strategy.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been growing rapidly and have a relatively short history of operating as a commercial-stage company. 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These risks increase as we expand into new countries.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Our current work force may not be sufficient to handle our expanding growth and we will be required to expand and train these personnel as we increase our sales efforts. We may not successfully implement these increases in scale or the expansion of our personnel, which could harm our business.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expand our sales and customer support team and adequately address our customers’ needs, it could negatively impact revenues and market acceptance of Deep TMS and we may never generate sufficient revenues to achieve or sustain profitability</w:t>
      </w:r>
      <w:r>
        <w:rPr>
          <w:rFonts w:ascii="Arial" w:cs="Arial" w:eastAsia="Arial" w:hAnsi="Arial"/>
          <w:sz w:val="16"/>
          <w:szCs w:val="16"/>
          <w:i w:val="1"/>
          <w:iCs w:val="1"/>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100 employees, including 26 employees in sales and marketing. Our operating results are directly dependent upon the sales and marketing efforts of our sales and customer support team and, to a lesser extent, on our independent third party distributors outside of the United States. If our employees or our independent distributors fail to adequately promote, market and sell or lease our Deep TMS systems, our revenues could significantly decrease and/or fail to meet our targets.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future revenues will largely depend on our ability to successfully execute our marketing efforts and adequately address our customers’ needs. We believe it is necessary to expand our sales force, including by hiring additional sales representatives or distributors with specific technical backgrounds that can support our customers’ needs.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 develop and seek regulatory clearances for new indications, enhancements and features and increase our marketing efforts,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Deep TMS systems, which could harm our business.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secure or maintain adequate coverage and reimbursement of our Deep TMS system for the currently authorized indications and other indications for which we obtain FDA authorization in the future, if any, may make physicians reluctant to use or recommend Deep TMS and have a material adverse effect on our sales, results of operations, and financial condition.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Patients generally rely on third-party payers to reimburse all or part of the costs associated with outpatient treatment services. Patients may, thus, be unwilling to undergo, and physicians may be unwilling to prescribe, a given course of treatment in the absence of adequate coverage and reimbursement. Accordingly, our ability to successfully commercialize our Deep TMS system depends significantly on the extent to which treatment sessions using Deep TMS are covered and reimbursed by government healthcare programs, such as Medicare and Medicaid (among others), commercial health insurers, managed care organizations, and other third-party payers.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Third-party payers are increasingly examining the medical necessity and cost effectiveness of medical products and services, in addition to safety and efficacy. Significant uncertainty exists as to the reimbursement status of any newly approved (or cleared) products or therapies, such as Deep TMS for OCD or for smoking addiction, which represent novel approaches to treatment of a disease, addiction, or condition. Even if a third-party payer covers a particular treatment that uses Deep TMS, the resulting reimbursement rate may not be adequate to cover a provider’s cost to purchase or lease the Deep TMS system or ensure such transaction is profitable for the provider. Reimbursement by a third-party payer may depend upon a number of factors, including the third-party payer’s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In the United States, there is no uniform policy of coverage and reimbursement among third-party payers, including private insurers. Therefore, coverage and reimbursement for treatments can differ significantly from payer to payer. However, many third-party payers often rely upon Medicare coverage policies and payment limitations in setting their own coverage and reimbursement policies and methodologies. Private insurance coverage for Deep TMS as a treatment for MDD generally requires one to four failures of anti-depressant medications.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Medicare coverage for Deep TMS as a treatment for MDD generally requires that certain, specified clinical criteria relating to medical necessity are met (and documented). In particular, subject to variations by payor and locale, under most applicable payor policies, Deep TMS may be covered for MDD if: (i) prescribed by a licensed physician, knowledgeable in the use of TMS (ii) as a treatment for an adult with a confirmed diagnosis of MDD and no contraindications, (iii) where there is sufficient documentation of: (a) failure of a trial of psychotherapy known to be effective in treating MDD without significant improvement in depressive symptoms and (b) one of the following:</w:t>
      </w:r>
    </w:p>
    <w:p>
      <w:pPr>
        <w:spacing w:after="0" w:line="188"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resistance to treatment with psychopharmacologic agents for depression, as evidenced by lack of clinically significant response to four trials of such agents, including at least two different agent classes and two augmentation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tolerate a therapeutic dose of medications as evidenced by four trials of psychopharmacologic agents with distinct side effects,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History of good response to repetitive TMS in a previous depressive episode (at least three months since the prior episode),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 is a candidate for electroconvulsive therapy (ECT) and TMS is less burdensome to the patient.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Reimbursement for Deep TMS as an MDD treatment is also generally limited to 36 treatment sessions.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Obtaining and maintaining adequate reimbursement of Deep TMS for OCD, for smoking addiction, or for any future indications, as applicable, may be difficult. Currently, there is no third-party coverage of Deep TMS as a treatment for OCD nor for smoking addiction, as payors that have evaluated Deep TMS for OCD coverage have not yet concluded that it is a reasonable and necessary therapy for OCD or for smoking addiction, respectively. We are working to gather and submit additional clinical data in order to sufficiently demonstrate the efficacy of Deep TMS for the treatment of OCD and smoking addiction. These efforts may be expensive and time-consuming. Therefore, it may take significant time to obtain sufficient reimbursement coverage of Deep TMS for OCD and smoking addiction. We may be required to conduct expensive pharmacoeconomic studies to justify coverage and reimbursement or the level of reimbursement compared to existing approved biologics and other therapies. There may be significant delays in obtaining coverage and reimbursement for newly approved therapies in the United States, and coverage may be more limited than the indications for which the product is approved by the FDA or similar regulatory authorities outside the United States. Further, there is no guarantee that Deep TMS will ever be adequately covered or reimbursed for OCD, smoking addiction, or any other future indication for which we obtain authorization, if 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U.S. federal government and state legislatures have continued to implement cost containment programs, including price controls and restrictions on coverage and reimbursement. To contain costs, governmental healthcare programs and third-party payers are increasingly challenging the price, scrutinizing the medical necessity, and reviewing the cost-effectiveness of medical treatments.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payers outside of the United States, including Japan, are not obtained, international sales and lease transactions for the Deep TMS system may not materialize or grow significantly.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342" w:lineRule="auto"/>
        <w:rPr>
          <w:sz w:val="20"/>
          <w:szCs w:val="20"/>
          <w:color w:val="auto"/>
        </w:rPr>
      </w:pPr>
      <w:r>
        <w:rPr>
          <w:rFonts w:ascii="Arial" w:cs="Arial" w:eastAsia="Arial" w:hAnsi="Arial"/>
          <w:sz w:val="16"/>
          <w:szCs w:val="16"/>
          <w:color w:val="auto"/>
        </w:rPr>
        <w:t>The marketability of Deep TMS may suffer if the government and third-party payers fail to provide adequate coverage and reimbursement. Even if favorable coverage and reimbursement status is attained, less favorable coverage policies and reimbursement rates may be implemented in the future.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some components used in manufacturing Deep TMS, and we may be unable to immediately transition to alternative parties for these components.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on suppliers for most of the components used in manufacturing Deep TMS, including the computer controlling the stimulator, the helmet, and the arm of the helmet, and we may not have sufficient contractual assurances for the long-term supply of these components. We now assemble our proprietary stimulator in our new-generation Deep TMS systems; however, we remain dependent on a single source third-party supplier for stimulators used in older versions of our Deep TMS system, and accordingly we must still rely on third-party suppliers for those older versions. In addition, we rely on the outsourcing company utilized for the manufacture of certain components in our newer systems, including our proprietary stimulator and various other components. For us to be successful, our suppliers and contract manufacturer must be able to provide us with components in sufficient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Deep TMS systems. An interruption in our commercial operations could occur if we encounter delays or difficulties in securing these components, if we cannot obtain an acceptable substitute.</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transition to a new supplier or contract manufacturer could be time-consuming and expensive, may result in interruptions in our operations and product delivery, could affect the performance specifications of Deep TMS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Deep TMS systems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Deep TMS in a timely and cost-effective manner.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market and sell Deep TMS systems outside of the United States in various countries and/or intend to market and expand the commercialization of Deep TMS in other markets, including Japan, Europe, and various Middle Eastern, Central/South American, and Asian countries.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sale, lease, and shipment of the Deep TMS system across international borders, as well as the purchase of components and products from international sources, subjects us to extensive U.S. and other foreign governmental trade, import,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and multiple payer reimbursement regimes, government payers or patient self-pay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(FCPA), and anti-money laundering 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regulatory requirements for obtaining marketing authorizations for our products in non-U.S. jurisdictions;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 of withholding and other taxes on remittances and other payments by foreign subsidiaries or joint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armed conflicts or economic, political, and/or social instability in foreign countries and regions;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revenues.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and expect to rely in the future, on a network of third-party distributors to market and distribute our products in international markets. We are assessing the opportunity to continue expanding into other international markets. We may face significant challenges and risks in managing a geographically dispersed distribution network. We have limited ability to control any third-party distributors and agents. Our distributors and agents may be unable to successfully market, lease,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with the new distributor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or agent were to depart and be retained by one of our competitors, we may be unable to prevent that distributor or agent from helping competitors solicit business from our existing customers, which could further adversely affect our sales. As a result of our reliance on third-party distributors and agents, we may be subject to disruptions and increased costs due to factors beyond our control, including labor strikes, third-party error, and other issues. If the services of any of these third-party distributors and agents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trials involve a lengthy and expensive process with an uncertain outcome, which may delay or cause us to abandon the development of Deep TMS for additional indications.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at various stages of completed, ongoing or planned clinical trials of Deep TMS for new indications. Development of medical devices includes pre-clinical studies and sometimes clinical trials, and is a long, expensive, and uncertain process, subject to delays and failure at any stage. Clinical trials for Deep TMS involve certain specific risks, including factors related to trial design and patient enrollment. Additionally, if we are unable to recruit a sufficient number of patients for our clinical trials, we may be unable to generate sufficient data to support marketing authorization. Moreover, our research and development, pre-clinical and clinical trial activities are subject to extensive regulation and review by numerous governmental authorities. We cannot predict whether we will encounter problems with any of our completed, ongoing or planned clinical trials, which would cause us or regulatory authorities to delay or suspend clinical trials, or delay the analysis of data from completed or ongoing clinical trials. We estimate that clinical trials involving various indications of Deep TMS will continue for several years; however, such trials may also take significantly longer to complete and may cost more money than we have expected. Furthermore, the data obtained from the studies and trials may be inadequate to support regulatory authorizations or to enable market acceptance of certain indications of Deep TMS. Failure can occur at any stage of testing, and we may experience numerous unforeseen events during, or as a result of, the clinical trial process that could delay or prevent commercialization of the current, or a future, version of, Deep TMS, for any particular indication, including but not limited to:</w:t>
      </w:r>
    </w:p>
    <w:p>
      <w:pPr>
        <w:spacing w:after="0" w:line="1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the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institutional review board and other regulatory approvals to commence a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anticipated patient recruitment and enrollment;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monitor patients adequately during or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placement of a clinical trial on hold by the FDA, institutional review boards/ethics committees or other regulatory authorities;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including governmental changes in permissible endpoints or other measures utilized 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investigator or patient compliance with the trial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the products falling below acceptable standards;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products to commence or complete clinical trials.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the FDA or other regulatory entities may disagree with our interpretation of the data from our pre-clinical studies and clinical trials, or may find the clinical trial design, conduct or results inadequate to demonstrate safety or efficacy, and may require us to pursue additional pre-clinical studies or clinical trials, which could further delay authorization of additional indications for Deep TMS. A number of companies in the medical device and biotechnology industries, including those with greater resources and experience than us, have suffered significant setbacks in advanced clinical trials, even after seeing promising results in earlier clinical trials. We do not know whether any clinical trials we or our clinical partners may conduct will demonstrate adequate efficacy and safety to result in regulatory authorization to market new indications for Deep TMS. In addition, the results of our past clinical trials of Deep TMS may not be predictive of future trial results. If later-stage clinical trials involving Deep TMS for new indications do not produce favorable results, our ability to obtain regulatory authorization for such indications may be adversely impacted, which will have a material adverse effect on our business, financial condition,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We rely in part on third parties to conduct our clinical trials. If these third parties fail to perform their duties on time or as expected, we may not be able to obtain regulatory authorization for additional indications that we may seek for Deep TMS.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clinical trials are managed by our both own staff and personnel as well as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 set forth in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granting a marketing authorization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authorization for or successfully commercialize Deep TMS for a specified indication.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collaboration arrangements may not be successful, which could adversely affect our ability to develop and commercialize our products.</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currently involved in a number of research and development collaborations with third parties relating to the development of new technology and additional uses of Deep TMS. These and 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or may change their strategic focus due to the acquisition of competitive products,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funding or other external factors, such as a business combination that diverts resources or creates competing priorities;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and/or commercialization of our current or future products or that results in costly litigation or arbitration that diverts management attention and resources;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collaborators may default on their obligations to us and we may be forced to terminate, litigate, and/or renegotiate such arrangements;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collaborators may have claims that we breached our obligations to them which may result in termination, renegotiation, litigation or delays in performance of such arrangements;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our collaboration arrangements are not successful, it could have a material adverse effect on our business, financial condition, and results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exposes us to potential product liability claims that are inherent in the testing, manufacture, and sale of medical devices for the treatment of MDD, OCD, smoking addiction, and other potential indications. Our treatments are designed for patients who suffer from significant psychiatric, neurological disorders, and addictions, and these patients are more likely to experience significant adverse health outcomes, which could increase the risk of product liability lawsuits. Furthermore, if physicians and other operators are not sufficiently trained in the use of our Deep TMS systems, they may misuse or ineffectively use our system,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Deep TMS;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 and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new indications, enhancements, or features;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related to a product liability claim, could result in significant costs and loss of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liability, public liability, employer's liability, property, third party liability,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bear the risk of warranty claims on the products we supply, often for the entire contract term for systems which are leased either via the fixed lease or risk share models, and generally for one year for Deep TMS systems we sell to customers. There can be no assurance that we will have sufficient funds, devices, components and/or personnel to cover future warranty claims. We may not be successful in claiming recovery of relevant components from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operate in a number of countries throughout the world, and we may operate in countries that may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or are in the process of implementing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affected by the COVID-19 global pandemic.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COVID-19 global pandemic has led governments and authorities around the globe to take various precautionary measures in order to limit the spread of the COVID-19 global pandemic, including government-imposed quarantines, lockdowns, and other public health safety measures, which could have an adverse effect on the global markets and its economy, including on the availability and pricing of materials, manufacturing and delivery efforts, sales to existing and potential customers and leads, collections from accounts, and other aspects of the global economy. Therefore, the COVID-19 global pandemic could disrupt production and cause delays in the supply and delivery of products used in our operations, may further divert the attention and efforts of the medical community to coping with the COVID-19 global pandemic, impact our ability to recruit subjects for ongoing and planned clinical trials, and disrupt the marketplace in which we operate, and may have a material adverse effects on our operations, sales, revenues, collection from accounts and ability to raise funds. In particular, certain of our third-party suppliers may currently source certain components and materials of our Deep TMS systems from Asia and other countries, and the continued spreading of the COVID-19 global pandemic may adversely impact our third-party suppliers’ development, manufacture, and supply of our Deep TMS systems. In addition, treatment sessions conducted with our Deep TMS system, which are generally scheduled or non-emergency procedures, may be postponed as hospitals and healthcare centers shift resources to patients affected by the COVID-19 global pandemic. The extent to which the COVID-19 global pandemic impacts our results will depend on future developments, which are highly uncertain and cannot be predicted, including new information which may emerge concerning the severity of the COVID-19 global pandemic, and the actions to contain the COVID-19 global pandemic or treat its impact, among others. Moreover, the COVID-19 global pandemic has caused substantial adverse effects on general commercial activity and the world economy, and our business and results of operations could be adversely affected to the extent that this COVID-19 global pandemic or any other epidemic harms the global economy generally.</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vulnerable to interruption or loss due to natural or other disasters, power loss, strikes and other events beyond our control.</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major earthquake, fire, or other disaster, such as a major flood, seasonal storms, military action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epidemic diseases could have a negative effect on our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our information technology systems for the efficient functioning of our business accounting, data storage, compliance, purchasing, and inventory management.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use of technology and may become subject to cyber-terrorism or other compromises and shut-downs.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heavily on our internal computer and information technology systems. Our information technology systems may be subject to cyber-terrorism or other compromises and shut-downs, which may result in unauthorized access to our proprietary information, destruction of our data or disability, degradation or sabotage of our systems, often through the introduction of computer viruses, cyber-attacks, and other means, and could originate from a variety of sources, including internal or unknown third parties. We cannot predict what effects such cyber-attacks or compromises or shut-downs may have on our business, and the consequences could be material. Cyber incidents may remain undetected for an extended period, which could exacerbate these consequences. If our information systems or other technology are compromised, it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we may receive and process information about our customers, partners and, potentially, their patients, including protected health information (PHI), and we may configure our devices to store or contract with third parties to store our customers’ data, including PHI. PHI, a subset of “individually identifiable information,” is defined under the federal level by the Health Insurance Portability and Accountability Act of 1996 (HIPAA), as amended by the Health Information and Technology for Economic and Clinical Health Act of 2009 (HITECH), including applicable implementing regulations. HIPAA, along with various analogous laws at the state level, governs the protection and confidentiality of PHI, and other sensitive information, as applicable (as more fully described below). To the extent we, or third parties we contract with, store or transfer PHI, we may be required to safeguard PHI in accordance with HIPAA. Furthermore, to the extent we qualify as a business associate under HIPAA, we may be directly subject to HIPAA’s Privacy Rule.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we implemented security measures relating to our operations, generally, those measures may not prevent security breaches that could harm our business or expose us to liability under HIPAA and/or applicable state privacy laws. Advances in computer capabilities, inadequate technology or facility security measures or other factors may result in a compromise or breach of our systems and any data we store and process. Our security measures may be breached as a result of actions by third parties or employee error or malfeasance, among many other possibilities.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civil penalties, and other enforcement actions under applicable laws,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Foreign acquisitions involve unique risks in addition to those mentioned above, including those related to integration of operations across different cultures, languages, legal, and regulatory environments, currency risks and the particular economic, political and regulatory risks associated with specific countries.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finance any acquisitions, investments or strategic alliances, we may choose to issue ADSs or other equity-linked securities as consideration, which could dilute the ownership of our shareholders. Additional funds may not be available on terms that are favorable to us, or at all. If the price of the ADSs is low or volatile, we may be unable to consummate any acquisitions, investments or strategic alliances using our shares as consideration.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retain our key management, or attract and retain qualified scientific, technical, and business personnel, our ability to implement our business plan may be adversely affected.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largely depends on the skill, experience, and effort of our senior management. The loss of the service of any of these persons, including Dr. David Zacut, the chairman of our board of directors, Christopher R. von Jako, our president and chief executive officer, Hadar Levy, our senior vice president and general manager of North America operations, and Dr. Yiftach Roth, our chief scientist, would likely result in a significant loss in the knowledge and experience that we possess and could significantly delay or prevent successful product development and other business objectives. There is intense competition from numerous medical device, pharmaceutical, and biotechnology companies, universities, governmental entities, and other research institutions, seeking to employ qualified individuals in the technical fields in which we operate, and we may not be able to attract and retain the qualified personnel necessary for the successful development and commercialization of Deep TMS.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Employees may, from time to time, bring lawsuits against us regarding injury, creating a hostile work 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our business could be negatively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regulations to which we are subject are complex and stringently enforced.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not receive the necessary regulatory clearances or approvals to market our product for other proposed indications in the future, and failure to timely obtain necessary clearances or approvals for such future indications would adversely affect our ability to grow our business.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67" w:lineRule="auto"/>
        <w:rPr>
          <w:sz w:val="20"/>
          <w:szCs w:val="20"/>
          <w:color w:val="auto"/>
        </w:rPr>
      </w:pPr>
      <w:r>
        <w:rPr>
          <w:rFonts w:ascii="Arial" w:cs="Arial" w:eastAsia="Arial" w:hAnsi="Arial"/>
          <w:sz w:val="17"/>
          <w:szCs w:val="17"/>
          <w:color w:val="auto"/>
        </w:rPr>
        <w:t xml:space="preserve">An element of our strategy is to continue to upgrade our Deep TMS systems, add new enhancements and features, and expand clearance or approval of the Deep TMS System to include new indications. In the United States, before we can market a new medical device, or claim new or expanded indications for use or introduce a significant modification to an existing product, we must first receive either clearance under Section 510(k) of the Federal Food, Drug, and Cosmetic Act, or the FDCA,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or premarket approval application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which allows a manufacturer whose novel device would otherwise require a PMA prior to marketing to request down-classification of the device on the basis that the device presents low or moderate risk. If the FDA grants the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request, the applicant will then receive authorization to market the device. This device type can then be used as a predicate device for</w:t>
      </w:r>
      <w:r>
        <w:rPr>
          <w:rFonts w:ascii="Arial" w:cs="Arial" w:eastAsia="Arial" w:hAnsi="Arial"/>
          <w:sz w:val="17"/>
          <w:szCs w:val="17"/>
          <w:i w:val="1"/>
          <w:iCs w:val="1"/>
          <w:color w:val="auto"/>
        </w:rPr>
        <w:t xml:space="preserve"> </w:t>
      </w:r>
      <w:r>
        <w:rPr>
          <w:rFonts w:ascii="Arial" w:cs="Arial" w:eastAsia="Arial" w:hAnsi="Arial"/>
          <w:sz w:val="17"/>
          <w:szCs w:val="17"/>
          <w:color w:val="auto"/>
        </w:rPr>
        <w:t>future 510(k) submissions.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received marketing authorization of our MDD indication through the 510(k) clearance process and we have made changes to our system for the MDD indication through subsequent 510(k) clearances. We received marketing authorization of our OCD indication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but will be permitted to make changes to our system for the OCD indication through subsequent 510(k) clearances. Competitors may seek 510(k) clearance of a TMS device for an OCD indication and use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as a predicate device in their submission. The process of obtaining regulatory authorization to market a medical device can be costly and time consuming, and we may not be able to successfully obtain authorizations on a timely basis, if at all.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can delay, limit or deny clearance or approval of a device for many reasons, including: we may be unable to demonstrate to the FDA’s satisfaction that the product or modification is substantially equivalent to the proposed predicate device or is safe and effective for its intended use; the data from our pre-clinical studies and clinical trials may be insufficient to support authorization,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De Novo classification request), in which case the FDA may not grant any necessary clearances or approvals. In addition, the FDA may place significant limitations upon the intended uses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 clearance or approvals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Even if granted, a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PMA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suppliers are found to be in violation of applicable laws and regulations, or if we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 510(k) marketing clearances or PMA approvals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authorization of our future products under development or impact our ability to modify our currently marketed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in the United States, especially with a new administration that may have different policy priorities than the previous one.</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sell our products in member countries of the EEA, or in countries that also rely on the CE Mark outside the EEA, our products must comply with the essential requirements of the EU Medical Devices Directive (Council Directive 93/42/EEC), and with the Medical Device Regulation (Regulation 2017/745).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 If we fail to remain in compliance with applicable European laws and directives, we would be unable to continue to affix the CE Mark to our device, which would prevent us from selling them within the EEA and may have an impact on our marketing authorizations in other countries.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distributors will also need to obtain, or retain, regulatory approval in other foreign jurisdictions in which we plan to or currently do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Modifications to our Deep TMS systems may require new 510(k) clearances, de novo classification or PMA, and may require us to cease marketing or recall the modified products until authorizations are obtained.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Any modification to a 510(k)-cleared product that could significantly affect its safety or effectiveness, or that would constitute a major change in its intended use, design or manufacture, requires a new 510(k) clearance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possibly, a PMA. Modifications to products that have been approved through the PMA process generally require premarket FDA approval. Similarly, certain modifications made to products cleared through a 510(k) or authorized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may require a new 510(k) clearance. Each of the PMA,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the 510(k) clearance processes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FDA requires every manufacturer to make this modification determination in the first instance, but the FDA may review any manufacturer’s decision. The FDA may not agree with our decisions regarding whether new authorizations are necessary. We have made modifications to our products in the past and have determined based on our review of the applicable FDA regulations and guidance that in certain instances new 510(k) clearances were not required. We may make modifications or add additional enhancements or features in the future that we believe do not require a new 510(k) clearance,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novo </w:t>
      </w:r>
      <w:r>
        <w:rPr>
          <w:rFonts w:ascii="Arial" w:cs="Arial" w:eastAsia="Arial" w:hAnsi="Arial"/>
          <w:sz w:val="16"/>
          <w:szCs w:val="16"/>
          <w:color w:val="auto"/>
        </w:rPr>
        <w:t>classification or a PMA. If the FDA disagrees with our determination and requires us to submit new 510(k) notifications,</w:t>
      </w:r>
      <w:r>
        <w:rPr>
          <w:rFonts w:ascii="Arial" w:cs="Arial" w:eastAsia="Arial" w:hAnsi="Arial"/>
          <w:sz w:val="16"/>
          <w:szCs w:val="16"/>
          <w:i w:val="1"/>
          <w:iCs w:val="1"/>
          <w:color w:val="auto"/>
        </w:rPr>
        <w:t xml:space="preserve"> de novo </w:t>
      </w:r>
      <w:r>
        <w:rPr>
          <w:rFonts w:ascii="Arial" w:cs="Arial" w:eastAsia="Arial" w:hAnsi="Arial"/>
          <w:sz w:val="16"/>
          <w:szCs w:val="16"/>
          <w:color w:val="auto"/>
        </w:rPr>
        <w:t>classifications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PMAs for modifications to our previously authorized products for which we have concluded that new authorizations are unnecessary, we may be required to cease marketing or to recall the modified product until we obtain appropriate regulatory authorization, and we may be subject to significant regulatory fines or penalties. In addition, the FDA may not authorize our products for the indications that are necessary or desirable for successful commercialization or could require clinical trials to support any modifications. Any delay or failure in obtaining required regulatory authorizations would adversely affect our ability to introduce new or enhanced products in a timely manner, which in turn would harm our future growth.</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that may differ from the FDA requirements, with which we must comply.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or our third-party suppliers may not take the necessary steps to comply with applicable regulations,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of Deep TMS for additional indications; clinical holds; refusal to permit the import or export of our products; and criminal prosecution of us or our employees. Any of these actions could significantly and negatively impact supply of our Deep TMS systems. If any of these events occurs, our reputation could be harmed, we could be exposed to product liability claims, and we could lose customers and suffer reduced revenues and increased costs.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If treatment guidelines for the clinical conditions we are targeting change or the standard of care evolves, we may need to redesign and seek new marketing authorization from the FDA for one or more of our products.</w:t>
      </w:r>
    </w:p>
    <w:p>
      <w:pPr>
        <w:spacing w:after="0" w:line="170" w:lineRule="exact"/>
        <w:rPr>
          <w:sz w:val="20"/>
          <w:szCs w:val="20"/>
          <w:color w:val="auto"/>
        </w:rPr>
      </w:pPr>
    </w:p>
    <w:p>
      <w:pPr>
        <w:jc w:val="both"/>
        <w:ind w:firstLine="53"/>
        <w:spacing w:after="0" w:line="259" w:lineRule="auto"/>
        <w:rPr>
          <w:sz w:val="20"/>
          <w:szCs w:val="20"/>
          <w:color w:val="auto"/>
        </w:rPr>
      </w:pPr>
      <w:r>
        <w:rPr>
          <w:rFonts w:ascii="Arial" w:cs="Arial" w:eastAsia="Arial" w:hAnsi="Arial"/>
          <w:sz w:val="18"/>
          <w:szCs w:val="18"/>
          <w:color w:val="auto"/>
        </w:rPr>
        <w:t xml:space="preserve">If treatment guidelines for the clinical conditions we are targeting or the standard of care for such conditions evolves, we may need to redesign our Deep TMS systems and seek new marketing authorizations from the FDA. Our existing 510(k)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clearances from the FDA are based on current treatment guidelines. Additionally, if treatment guidelines change so that different treatments become desirable, the clinical utility of one or more of our indications could be diminished and our business could suffer.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 TMS system has been authorized for marketing by the FDA only for MDD, OCD, and smoking addiction indications. We train our commercial organization to not promote our products for uses outside of the FDA-authorized indications for use, known as “off-label uses.” However, we cannot guarantee that all of our employees, representatives, and agents will abide by our marketing policies. If the FDA determines that our promotional materials, training or other marketing activities constitute promotion of an off-label or unapproved use, it could request that we modify our training or promotional materials or subject us to regulatory or enforcement actions, including the issuance or imposition of an untitled letter, a warning letter, injunction, seizure, civil fine or criminal penalties. It is also possible that other federal, state or foreign enforcement authorities might take action under other regulatory authority, such as laws prohibiting false claims for reimbursement.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Deep TMS off-label. Furthermore, the use of Deep TMS for MDD, OCD or smoking addiction other than as stated on product labeling, or for indications other than those authorized by the FDA, may not be effective to treat such conditions, which could harm our reputation in the marketplace among physicians and patients. There are similar risks if Deep TMS is used off-label with respect to non-U.S. regulatory approvals.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spacing w:after="0" w:line="288" w:lineRule="auto"/>
        <w:rPr>
          <w:sz w:val="20"/>
          <w:szCs w:val="20"/>
          <w:color w:val="auto"/>
        </w:rPr>
      </w:pPr>
      <w:r>
        <w:rPr>
          <w:rFonts w:ascii="Arial" w:cs="Arial" w:eastAsia="Arial" w:hAnsi="Arial"/>
          <w:sz w:val="16"/>
          <w:szCs w:val="16"/>
          <w:color w:val="auto"/>
        </w:rPr>
        <w:t>The FDA and foreign regulatory bodies have the authority to require, and in the United States companies are expected to voluntarily, the recall of commercialized products in the event of material deficiencies or defects in design or manufacture of a product or in the event that a product poses an unacceptable risk to health. An FDA recall, whether mandatory or voluntary, may be based on a finding that there is reasonable probability that the device could cause serious injury or death. A government 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Depending on the corrective action we take to redress a product’s deficiencies or defects, the FDA may require, or we may decide, that we will need to obtain new authorization for the device before we may market or distribute the corrected device. Seeking such authorization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7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Companies are required to maintain certain records of corrective actions, even if they are not reportable to the FDA. We may initiate voluntary corrective actions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adverse event involving Deep TMS systems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distributors do not obtain and maintain international regulatory registrations or approvals for Deep TMS, we will be unable to market and sell our products outside of the United States.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our Deep TMS systems outside of the United States are subject to foreign regulatory requirements that vary widely from country to country. While the regulations of some countries may not impose barriers to marketing and selling Deep TMS systems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Deep TMS or we may be unable to do so on a timely basis. The time required to obtain registrations or approvals, if required by other countries, may be longer than that required for FDA authorization, and requirements for such registrations, clearances or approvals may significantly differ from FDA requirements. If we modify our Deep TMS systems,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Regulatory authorization by the FDA and/or the permission to affix the CE Mark does not ensure clearance or approval by regulatory authorities in other jurisdictions, and clearance or approval by one or more foreign regulatory authorities does not ensure clearance or approval by the FDA, the EU and/or the regulatory authorities in other foreign countries. However, a failure or delay in obtaining regulatory clearance or approval in one country may have a negative effect on the regulatory process in others.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Efforts to ensure that our business arrangements with third parties will comply with applicable healthcare laws and regulations involve substantial costs. Our business practices and relationships with providers and patients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76" w:lineRule="exact"/>
        <w:rPr>
          <w:sz w:val="20"/>
          <w:szCs w:val="20"/>
          <w:color w:val="auto"/>
        </w:rPr>
      </w:pPr>
    </w:p>
    <w:p>
      <w:pPr>
        <w:jc w:val="both"/>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healthcare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lease, order, or arrange for or recommend a good or service, for which payment may be made, in whole or in part, under federal healthcare programs, such as Medicare and Medicaid.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including items or services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73"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federal civil False Claims Act,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on behalf of the government and such individuals and may share in amounts paid by the entity to the government in recovery or settlement. False Claims Act liability is potentially significant in the healthcare industry because the statute provides for treble damages and mandatory penalties of $11,665 to $23,331 per false or fraudulent claim or statement. The government may assert that a claim including items or services resulting from a violation of the federal Anti-Kickback Statute constitutes a false or fraudulent claim under the federal civil False Claims Act. Many pharmaceutical and medical device manufacturers have been investigated and have reached substantial settlements under the federal civil False Claims Act in connection with alleged off-label promotion of their products and allegedly providing free products to customers with the expectation that the customers would bill federal health care programs for the product. In addition, manufacturers can be held liable under the federal civil False Claims Act even when they do not submit claims directly to government payers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among other things,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393"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for which payment is available under Medicare, Medicaid or the Children’s Health Insurance Program (with certain exceptions) to report annually to the United States Department of Health and Human Services, Centers for Medicare and Medicaid Services,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privacy, security, and breach reporting obligations with respect to PHI, upon entities subject to the law, such as health plans, healthcare clearinghouses and certain healthcare providers, and their respective business associates that perform services on their behalf that involve PHI. HITECH also created new tiers of civil monetary penalties, amended HIPAA to make HIPAA compliance as well as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 and</w:t>
      </w:r>
    </w:p>
    <w:p>
      <w:pPr>
        <w:spacing w:after="0" w:line="177"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payer,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in the United States (such as the EU, which adopted the General Data Protection Regulation, which became effective in May 2018);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physicians or other potential purchasers of our products. We have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For example, U.S. federal and state regulatory and enforcement agencies continue to actively investigate violations of healthcare laws and regulations, including pursuing novel theories of liability under these laws. These government agencies recently have increased regulatory scrutiny and enforcement activity with respect to manufacturer reimbursement support activities and patient support programs, including bringing criminal charges or civil enforcement actions under the federal healthcare Anti-Kickback statute, federal civil False Claims Act, the health care fraud statute, and HIPAA privacy provisions. Responding to investigations can be time and resource 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administrative, civil and criminal penalties, damages, fines, disgorgement, substantial monetary penalties, exclusion from participation in government healthcare programs, such as Medicare and Medicaid, imprisonment, additional reporting obligations, and oversight if we become subject to a corporate integrity agreement or other agreement to resolve allegations of non-compliance with these laws, reputational harm, and the curtailment or restructuring of our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in March 2010, the Patient Protection and Affordable Care Act (PPACA) was enacted in the United States, which made a number of substantial changes in the way healthcare is financed by both governmental and private insurers. Among other ways in which it may impact our business, the PPACA:</w:t>
      </w:r>
    </w:p>
    <w:p>
      <w:pPr>
        <w:spacing w:after="0" w:line="184"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Some of the provisions of the PPACA have yet to be implemented, and there have been judicial and Congressional challenges to modify, limit, or repeal certain aspects of the PPACA since its enactment and have continued to evolve. Since taking office, President Trump has continued to support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Substantial uncertainty remains as to the future of the PPACA after the U.S. Supreme Court declined to expedite its review of the Fifth Circuit’s holding on January 21, 2020. It is, thus, unlikely that these issues will be resolved before the next presidential election in November 2020. The current administration may seek to pass additional reform measures before the upcoming election. We cannot predict the outcome of the election, nor can we predict the healthcare-reform-related initiatives that the newly elected (or re-elected, as applicable) administration will put forth thereafter. There is no way to know whether, and to what extent, if any, the PPACA will remain in-effect in the future, and it is unclear how judicial decisions, subsequent appeals, election-related measures, or other efforts to repeal and replace or, possibly, to restore the PPACA will impact the U.S. healthcare industry or our business.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We cannot predict the impact that such actions against the PPACA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consultants, distributors, agents, and other commercial partners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that our employees, consultants, distributors, agents,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agents,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becomes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intellectual property, and our future success is dependent on our ability to protect our intellectual property and not infringe on the rights of others.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in part, on our ability to obtain sufficient patent protection and/or licensing rights for Deep TMS (including, but not limited to, the various H-Coils utilized in our devices and various product features/capabilities), maintain the confidentiality of our trade secrets and know how, operate without infringing on the proprietary rights of others, and prevent others from infringing our proprietary rights. Our success also depends, in part, on the ability of the U.S. Public Health Service, or PHS, which refers collectively to the National Institutes of Health, or NIH, the Centers for Disease Control and Prevention, and the FDA, as agencies of the PHS within the United States Department of Health and Human Services, or the DHHS, and Yeda Research and Development Company Ltd., or Yeda, the technology transfer arm of the Weizmann Institute of Science, from whom we license essential intellectual property upon which Deep TMS technology is based, to obtain sufficient patent protection for such intellectual property, maintain the confidentiality of related trade secrets and know how, operate without infringing on the proprietary rights of others, and prevent others from infringing such intellectual property.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We and our licensors try to protect our proprietary position by, among other things, filing U.S., European, and other patent applications related to Deep TMS, as well as inventions and improvements that may be important to the continuing development of Deep TMS.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In addition, we cannot assure you that:</w:t>
      </w:r>
    </w:p>
    <w:p>
      <w:pPr>
        <w:spacing w:after="0" w:line="18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future processes or product indications will be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processes or product indications will not infringe upon the patents of third parties; or</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will have the resources to defend against charges of patent infringement or other violation or misappropriation of intellectual property by third parties or to protect our own intellectual property rights against infringement, misappropriation or violation by third parties.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the patent position of medical device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and technologies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the European Union. Therefore, we cannot assure you that the patents issued, if any, as a result of our foreign patent applications will have the same scope of coverage as our U.S. patents. Competitors may successfully challenge our patents, produce similar products that do not infringe our patents, or produce products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completion of development and registration of our patents, third parties may still act to manufacture and/or market products that infringe our patent protected rights, and we may not have adequate resources to enforce our patents. Any such manufacturing and/or marketing of products that infringe our patent rights may significantly harm our business, results of operations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due to the extensive time needed to develop, test, and obtain regulatory approval for new indications of Deep TMS, any patents that protect these indications may expire early during the commercialization process. This may reduce or eliminate any market advantages that such patents may give us. Following patent expiration, we may face increased competition through the entry of competing products into the market and a subsequent decline in market share and profits.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However, our business interests may change, or our licensees may disagree with the scope of our license grants. In such cases, such licensing arrangements may result in the development, manufacturing, marketing, and sale by our licensees of products substantially similar to our products, causing us to face increased competition, which could reduce our market share and significantly harm our business, results of operations and prospects.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particular, the earliest of our U.S. patents on Deep TMS is set to expire in 2024. See “Business—Intellectual Property.” In addition, although upon issuance in the United States a patent’s life can be increased based on certain delays caused by the United States Patent and Trademark Office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right to the essential intellectual property upon which the Deep TMS technology is based results from in-license agreements with government agencies and research institutions, the termination of which would prevent us from commercializing Deep TMS.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in-licensing agreements with the PHS and Yeda. There is no assurance that the in-licenses or related rights on which we base our technology will not be terminated or expire due to a material breach of the underlying agreements or some other failure to meet the terms of agreement, such as a failure on our part to make certain progress milestone payments set forth in the terms of the licenses or to comply with manufacturing obligations under these agreements. There is no assurance that we will be able to renew or renegotiate our license agreements on acceptable terms if and when such agreements terminate. We cannot guarantee that any in-license is enforceable or will not be terminated in the future. The termination of any in-license or our inability to enforce our rights under any in-license would materially and adversely affect our ability to commercialize our Deep TMS.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license agreements for our critical patents and related intellectual property impose significant monetary obligations and other requirements that may adversely affect our ability to successfully execute our business plan.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upon license agreements with the PHS and Yeda for our intellectual property rights to Deep TMS technology. Deep TMS was developed by our founders, among others, prior to our founding over the course of their work for the PHS. The key family of patents and patent applications upon which the unique coil of Deep TMS technology is based is owned by the DHHS (based on an assignment of the related rights from the PHS) and is exclusively in-licensed to us under a license agreement with the PHS. In addition, a second family of patent applications covering additional functions of Deep TMS (including the multichannel stimulator that we are developing for use in a more advanced version of our system), which is jointly owned by us with the NIH and Yeda, is also licensed to us under the PHS license agreement and our license agreement with Yeda.</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agreement with Yeda provides for in-licensed rights to both a second family of patent applications and a third family of patent applications that covers additional characteristics of Deep TMS (including several Deep TMS coils and stimulators and methods of use), and we have commissioned research at the Weizmann Institute related to the Deep TMS under this agreement.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agreements provide us an exclusive (subject to certain standard exceptions and such as described below), worldwide license, with a right to sublicense, subject to the approval of PHS and Yeda, respectively, for the life of the relevant patents (in the case of Yeda, on a per country basis or, until the 15-year anniversary of the first commercial sale (per country) of a product developed on the basis of the agreement, if later) for the development, creation, use, import, offer, and sale of any product or treatment that relates to Deep TMS technology and that is developed on the basis of such patents or (in the case of the agreement with Yeda) such research. These agreements require us, as a condition to the maintenance of our license and other rights, to make milestone and royalty payments and satisfy certain performance obligations, including with respect to manufacturing. If we were to receive a notice of non-compliance under any of these agreements, we would need to either obtain appropriate waivers and/or cure such non-compliance, which may require us to modify our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right="20"/>
        <w:spacing w:after="0" w:line="263" w:lineRule="auto"/>
        <w:rPr>
          <w:sz w:val="20"/>
          <w:szCs w:val="20"/>
          <w:color w:val="auto"/>
        </w:rPr>
      </w:pPr>
      <w:r>
        <w:rPr>
          <w:rFonts w:ascii="Arial" w:cs="Arial" w:eastAsia="Arial" w:hAnsi="Arial"/>
          <w:sz w:val="18"/>
          <w:szCs w:val="18"/>
          <w:color w:val="auto"/>
        </w:rPr>
        <w:t>All of the above-described obligations impose significant financial and logistical burdens upon our ability to carry out our business plan. Furthermore, if we do not meet such obligations in a timely manner, we could lose the rights to our proprietary technology, which would have a material adverse effect on our business, financial condition, and results of operations.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key patents that underlie our Deep TMS technology are subject to the U.S. government’s royalty free usage rights on a worldwide basis for any discovery based on such patents, which may have unexpected, adverse consequences upon the market for our product.</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our PHS license agreement, the U.S. government possesses an irrevocable, nonexclusive, nontransferable royalty-free license for the practice of inventions based on the inventions upon which our Deep TMS technology is based, for the benefit of the U.S. government, foreign governments, or international organizations under any existing or future treaty or agreement applicable to the U.S. government at such time. Furthermore, the PHS may grant, or may cause us to grant, nonexclusive research licenses, for the purpose of encouraging basic research at academic or corporate facilities (but, in the case of any license to a commercial entity, subject to our right to object if we believe that such license would adversely impact the exclusivity of our rights under the agreement). The PHS may also require us to grant sublicenses to responsible applicants if the public health and safety so require, subject to our right to demonstrate that any such sublicense will not materially increase the availability to the public of our licensed rights or that such public health and safety requirements may be otherwise met without any such sublicense.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material limits have been placed on the license held by the U.S. government for its own (or for its treaty partners’ or agreement counter-parties’) benefit, and it is possible that the U.S. government, a foreign government or an international organization could even commercialize a product on the basis of this license and the related technology. We cannot provide assurance that these rights will not be exploited in a manner that infringes upon our exclusive license to the PHS-owned patents, that does not develop or advance products that compete with our own, or that does not otherwise adversely impact our business. Because our rights with respect to the PHS-owned patents are critical to Deep TMS-based technologies and systems, any unexpected consequences from the U.S. government’s or other third party’s exploitation of such rights could have an adverse impact on the market for Deep TMS and, hence, on our business, financial condition,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or know-how, such proprietary information may be used by others to compete against us.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Legal proceedings or third-party claims of intellectual property infringement and other challenges may require us to spend substantial time and money and could prevent us from developing or commercializing Deep TMS.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spacing w:after="0" w:line="268" w:lineRule="auto"/>
        <w:rPr>
          <w:sz w:val="20"/>
          <w:szCs w:val="20"/>
          <w:color w:val="auto"/>
        </w:rPr>
      </w:pPr>
      <w:r>
        <w:rPr>
          <w:rFonts w:ascii="Arial" w:cs="Arial" w:eastAsia="Arial" w:hAnsi="Arial"/>
          <w:sz w:val="17"/>
          <w:szCs w:val="17"/>
          <w:color w:val="auto"/>
        </w:rPr>
        <w:t>The development, manufacture, use, offer for sale, sale or importation of Deep TMS may infringe on the claims of third-party patents or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Therefore, there is a risk that we could adopt a technology without knowledge of a pending patent application, which technology would infringe a third-party patent once that patent is issued. 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Deep TMS, if feasible; cause us to stop from engaging in normal operations and activities, including developing and new indications for Deep TMS;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may not be able to manufacture, use, offer for sale, sell or import our Deep TMS systems in the event of an infringement action.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because of our developmental stage, claims that Deep TMS infringes on the patent rights of others are more likely to be asserted after commencement of commercial sales incorporating our technology.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medical device, biotechnology and/or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opposition proceedings in foreign countries, we may have to expend substantial sums and management resources.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Patent law outside the United States may be different than in the United States. Further, the laws of some foreign countries may not protect our intellectual property rights to the same extent as the laws of the United States, if at all.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Functions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manufacturing, assembly and other significant functions are located in Israel and, therefore, our business and operations may be adversely affected by political, economic and military conditions in Israel.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Aspects of our business are located in Israel. Accordingly, our business will be directly influenced by the political, economic, and military conditions affecting Israel at any given time. Since the establishment of the State of Israel in 1948, a number of armed conflicts have occurred between Israel and its neighboring countries. These conflicts involved missile strikes against civilian targets in various parts of Israel including most recently, central Israel, and negatively affected business conditions in Israel. In addition, Israel faces threats from more distant neighbors, in particular, Iran. A change in the security and political situation in Israel and in the economy could impede the raising of the funds required to finance our research and development plans and to create joint ventures with third parties and could otherwise have a material adverse effect on our business, operating results, and financial condition.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facilities are in range of rockets that may be fired from Lebanon, Syria or the Gaza Strip into Israel. In the event that our facilities are damaged as a result of hostile action or hostilities otherwise disrupt the ongoing operation of our facilities, our research and development activities, and our ability to deliver products to customers could be materially and adversely affected.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popular uprisings in various countries in the Middle East and North Africa are affecting the political stability of those countries. Such instability may lead to deterioration in the political and trade relationships that exist between the State of Israel and these countries. Furthermore, some countries restrict doing business with Israel and Israeli companies, and additional countries may impose restrictions on doing business with Israel and Israeli companies if hostilities involving Israeli or political instability in the region continue or intensify. Such restrictions may seriously limit our ability to sell Deep TMS to customers in those countries. These restrictions may materially limit our ability to sell our products to customers in those countries. In addition, there have been increased efforts by activists to cause companies and consumers to boycott Israeli products. Such efforts, particularly if they become more widespread, may materially and adversely impact our ability to sell our products.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hostilities involving Israel or the interruption or curtailment of trade between Israel and its present trading partners, or significant downturns in the economic or financial condition of could adversely affect our operations and product development, cause our revenues to decrease, and adversely affect the share price of publicly traded companies having functions in Israel, such as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the New Israeli Shekel and other foreign currencies may negatively affect our future revenues.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a substantial portion of our revenues is and will continue to be generated in U.S. dollars, we incur a significant portion of our expenses in currencies other than U.S. dollars, such as NIS. Likewise, our financial records are maintained in U.S. dollars, while many of our expenses are incurred in NIS. As a result, our financial results have been and may continue to be affected by fluctuations in the applicable exchange rates of currencies in the U.S., Israel, and other countries in which Deep TMS may be sold.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operations may be affected by negative labor conditions in Israel.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as a result of the obligation of our personnel to perform military service.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significant portion of our senior management and key employees reside in Israel, and although most of them are no longer required to perform reserve duty, some may be required to perform annual military reserve duty, and may be called for active duty under emergency circumstances at any time. Our operations could be disrupted by the absence for a significant period of time of one or more of these officers or key employees due to military service. Any such disruption could adversely affect our business, results of operations, and financial condition.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termination or reduction of tax and other incentives that the Israeli Government provides to domestic companies may increase the costs involved in operating a company in Israel.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spacing w:after="0" w:line="192"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The Israeli government grants that we have received require us to meet several conditions and may restrict our ability to manufacture our Deep TMS systems and transfer relevant know-how outside of Israel and require us to pay royalties and satisfy specified conditions, including increased royalties if we manufacture our Deep TMS systems outside of Israel or payment of a redemption fee if we transfer relevant know-how outside of Israel.</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received royalty-bearing grants from the government of Israel through the Israel Innovation Authority (IIA) formerly, the Office of the Chief Scientist of the Ministry of Economy and Industry, for the financing of a portion of our research and development expenditures in Israel. We are required to pay low single-digit royalties on the sale of those of our products developed with this funding, which payments shall not exceed, in the aggregate, the amount of the grant received (in U.S. dollars), plus interest at an annual rate based on LIBOR. When know-how is developed using IIA grants, the Encouragement of Research, Development and Technological Innovation in Industry Law 5744-1984, or the Innovation Law, the IIA’s rules and guidelines as well as the terms of each of these grants, impose an obligation to pay royalties from any income deriving from a product developed, in whole or in part, directly or indirectly, in the framework of a research and development program funded by the IIA, including any derivatives and related services, and restrict our ability to manufacture our products and transfer know-how developed as a result of the IIA’s funded research and development outside of Israel. In certain cases, transfer of the IIA funded know-how outside of Israel requires pre-approval by the IIA, which may also impose certain conditions, including payment of a redemption fee calculated according to the formulas provided in the IIA’s rules and guidelines, or Redemption Fee, which differentiate between certain situations (while in no event will the Redemption Fee be more than six (6) times the grants received from the IIA plus interest). In addition, we may need to manufacture our products outside of Israel, in which case prior approval from the IIA is required (such approval is not required for the transfer of less than 10% of the manufacturing capacity in the aggregate), and we would be required to pay royalties at an accelerated rate and would be subject to payment of increased royalties, as defined under the IIA’s rules and regulations (up to, in the aggregate, 300% of the amount of the grant received (dollar linked), plus interest at annual rate based on LIBOR, depending on the manufacturing volume that is performed outside Israel less royalties already paid to the IIA). Accordingly, we may be limited in our ability to manufacture outside of Israel, and the manufacture of our products outside of Israel could have a material adverse effect on our business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The IIA has also published rules and guidelines with respect to the grant to a foreign entity of the right to use know-how that was developed using the IIA’s grants, or Funded Know-How, (in a manner that does not entirely prevent the IIA funded company from using the Funded Know-How) which is subject to receipt of the IIA’s prior approval. This approval is subject to payment to the IIA in accordance with the formulas stipulated in these rules.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transfer Funded Know-How to another Israeli company, provided that the acquiring company assumes all of our responsibilities toward the IIA (the transfer would still require IIA approval, and is subject to the obligation to pay royalties to the IIA from the income of such sale transaction, but will not be subject to the payment of the Redemption Fee).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obligation to comply with the IIA’s rules and guidelines and the Innovation Law (including with respect to the restriction of the transfer of Funded Know-How and manufacturing rights outside of Israel) remains in effect even after full repayment of the amount of royalties payable pursuant to the grants. Once a Redemption Fee is paid on a transfer of Funded Know-How outside Israel, all obligations towards the IIA (including the royalty obligation) cease. We are also subject to reporting obligations towards the IIA including submitting during the R&amp;D approved program period periodic reports pertaining to the progress of research and development, reports on income derived from products developed using grants from the IIA and in certain circumstances, reports regarding change in the holding and change in control. Furthermore, in the event of any change of control or any change in the holding of voting rights or rights to appoint directors or the CEO a result of which any non-Israeli citizen or non-Israeli resident becomes an “Interested Party” in our company, the non-Israeli citizen or non-Israeli resident shall comply with all the restrictions imposed on us and our obligations pursuant to Innovation Law and the IIA’s rules and guidelines. See “Management—Internal Auditor” for definition of Interested Party. In addition, the government of State of Israel may from time to time audit sales of products which it claims incorporate technology funded via IIA programs, and this may lead to additional royalties being payable on additional product candidates. In addition, under certain circumstances, further offerings of our shares to the public in any stock exchange whether in Israel or abroad, is subject to the approval of the IIA.</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restrictions may impair our ability to enter into agreements for IIA Funded Know-how without the approval of the IIA, and we cannot be certain that it will be obtained on terms that are acceptable to us, or at all. Furthermore, in the event that we undertake a transaction involving the transfer to a non-Israeli entity of know-how developed with IIA funding pursuant to a merger or similar transaction, or in the event we undertake a transaction involving the licensing of the IIA’s Funded Know-How, the consideration available to our shareholders may be reduced by the amounts we are required to pay to the IIA. Any approval, if given, will generally be subject to additional financial obligations. Failure to comply with the requirements under the IIA’s rules and guidelines and the Innovation Law may subject us to mandatory repayment of grants received by us (together with interest and penalties), as well as expose us to criminal proceedings.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2015, a new amendment to the Innovation Law was enacted, or Amendment No. 7, which came into effect on January 1, 2016. Since Amendment No. 7 has entered into force, the IIA was appointed to act as the entity which is responsible for the activity which was previously under the OCS’ responsibility. The IIA was granted wide freedom of action, and among other things, the authority to amend the requirements and restrictions which were specified in the Innovation Law before Amendment No. 7 became effective with respect to the ownership of Funded Know-How (including with respect to the restrictions on transfer of the Funded Know-How and manufacturing activities outside of Israel), as well as with respect to royalty payment obligations which apply to companies that receive grants from the IIA. Although the IIA’s published rules which for the most part adopted the principal provisions and restrictions in effect in the Innovation Law prior to the effectiveness of Amendment No. 7, we are unable to assess the effect on our business of any future rules which may be published by the IIA.</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Enforcing a U.S. judgment against us and our current senior management and directors, or asserting U.S. securities law claims in Israel, may be difficult.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incorporated in Israel. Members of our current senior management and directors reside in Israel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 See “Enforceability of Civil Liabilities” for additional information on your ability to enforce civil claim against us and our senior management and directors.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our articles of association and Israeli law and tax considerations may delay, prevent or make difficult an acquisition of us, which could prevent a change of control and negatively affect the price of the ADSs.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These provisions of Israeli law may delay, prevent or make difficult an acquisition of us, which could prevent a change of control, and therefore would potentially depress the price of the ADSs.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stock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entered into assignment of invention agreements with our employees who engage in research and development for the company pursuant to which such individuals agree to assign to us all rights to any inventions created during and as a result of their employment or engagement with us. A significant portion of our intellectual property has been developed by our employees in the course and as a result of their employment for us. Under the Israeli Patent Law, 5727-1967, or the Patent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or the Committee, a body constituted under the Patent Law, shall determine whether the employee is entitled to remuneration for his or her service inventions and the scope and conditions for such remuneration. Israeli case law clarifies that the right to receive consideration for “service inventions” can be waived by the employee and that in certain circumstances, such waiver does not necessarily have to be explicit. In order to determine the scope and validity of such wavier,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Patents Law). As such, and although our employees have agreed to assign to us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are entitled to receive require us to meet several conditions and may be terminated or reduced in the future.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7"/>
          <w:szCs w:val="17"/>
          <w:color w:val="auto"/>
        </w:rPr>
        <w:t>Some of our operations in Israel may entitle us to certain tax benefits under the Law for the Encouragement of Capital Investments, 5719-1959, or the Investment Law, once we begin to generate taxable income. If we do not meet the requirements for maintaining these benefits, they may be reduced or cancelled and the relevant operations would be subject to Israeli corporate tax at the standard rate, which is set at 23% in 2018 and thereafter. In addition to being subject to the standard corporate tax rate, we could be required to refund any tax benefits that we may receive in the future, plus interest and penalties thereon. Even if we continue to meet the relevant requirements, the tax benefits that our current “Technology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“Material Tax Considerations—Israeli Tax Considerations and Government Programs—Tax Benefits Under the 2017 Amendment” for additional information concerning these tax benefits.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rights and responsibilities of our shareholders are governed by our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our shareholders that are not typically imposed on shareholders of U.S. corporations.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 and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the ADSs may be volatile and may fluctuate due to factors beyond our control.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 price of publicly traded medical device companies has been highly volatile and is likely to remain highly volatile in the future. The market price of the ADSs or ordinary shares on either The Nasdaq Global Market, or Nasdaq, or the Tel Aviv Stock Exchange, or TASE, respectively, may fluctuate significantly due to a variety of factors, including:</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and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Deep TMS or entry into strategic relationships on terms that are not deemed to be favorable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Deep TMS;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 in the medical device industry or in the economy as a whole;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market and industry factors, may cause the market price and demand for the ADSs to fluctuate substantially, regardless of our actual operating performance, which may limit or prevent investors from readily selling their ADSs and may otherwise negatively affect the liquidity of the ADSs. In addition, stock markets in general, and medical device companies in particular, have experienced extreme price and volume fluctuations that have often been unrelated or disproportionate to the operating performance of these companies.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officers, directors, and entities affiliated with certain of our directors beneficially own or control, directly or indirectly, approximately 18.5% of our outstanding ordinary shares as of April 19, 2021.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ordinary shares.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the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the depositary are entitled to amend the deposit agreement and to change the rights of ADS holders under the terms of such agreement, or to terminate the deposit agreement, without the prior consent of the ADS holders.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the depositary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Our ordinary shares and ADSs are traded on different markets and this may result in price variations.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ordinary shares have been traded on the TASE since January 4, 2007, and our ADSs have been traded on The Nasdaq Global Market since April 16, 2019. Trading in our securities on these markets takes place in different currencies (dollars on the Nasdaq and NIS on the TASE), and at different times (resulting from different time zones, different trading days, and different public holidays in the United States and Israel). The trading prices of our securities on these two markets may differ due to these and other factors. Any decrease in the price of our securities on one of these markets could cause a decrease in the trading price of our securities on the other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at least the next several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anticipate paying any cash dividends for at least the next several years. We currently intend to retain all available funds and any future earnings to fund the development and growth of our business. As a result, capital appreciation, if any, of the ADSs will be the investors’ sole source of gain for at least the next several years. In addition, Israeli law limits our ability to declare and pay dividends, and may subject us to certain Israeli taxes. For more information, see “Dividend Policy.”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the ADSs, the price of the ADSs could decline.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trading market for the ADSs will rely in part on the research and reports that equity research analysts publish about us and our business. The price of the ADSs could decline if one or more securities analysts downgrade the ADSs or if those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past, U.S.-listed companies that have experienced volatility in the market price of their securities, including many life sciences and biotechnology companies,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 which could have a material adverse effect on our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Market, we follow certain home country corporate governance practices instead of certain Nasdaq requirements.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foreign private issuer whose shares are listed on The Nasdaq Global Market, we are permitted to follow certain home country corporate governance practices instead of certain requirements of the rules of The Nasdaq Global Market. Pursuant to the “foreign private issuer exemption”:</w:t>
      </w:r>
    </w:p>
    <w:p>
      <w:pPr>
        <w:spacing w:after="0" w:line="150" w:lineRule="exact"/>
        <w:rPr>
          <w:sz w:val="20"/>
          <w:szCs w:val="20"/>
          <w:color w:val="auto"/>
        </w:rPr>
      </w:pPr>
    </w:p>
    <w:p>
      <w:pPr>
        <w:jc w:val="both"/>
        <w:ind w:left="660" w:hanging="328"/>
        <w:spacing w:after="0" w:line="180" w:lineRule="auto"/>
        <w:tabs>
          <w:tab w:leader="none" w:pos="660" w:val="left"/>
        </w:tabs>
        <w:numPr>
          <w:ilvl w:val="0"/>
          <w:numId w:val="28"/>
        </w:numPr>
        <w:rPr>
          <w:rFonts w:ascii="Arial" w:cs="Arial" w:eastAsia="Arial" w:hAnsi="Arial"/>
          <w:sz w:val="35"/>
          <w:szCs w:val="35"/>
          <w:color w:val="auto"/>
          <w:vertAlign w:val="superscript"/>
        </w:rPr>
      </w:pPr>
      <w:r>
        <w:rPr>
          <w:rFonts w:ascii="Arial" w:cs="Arial" w:eastAsia="Arial" w:hAnsi="Arial"/>
          <w:sz w:val="18"/>
          <w:szCs w:val="18"/>
          <w:color w:val="auto"/>
        </w:rPr>
        <w:t>we established a quorum requirement such that the quorum for any meeting of shareholders is two or more shareholders holding at least 33</w:t>
      </w:r>
      <w:r>
        <w:rPr>
          <w:rFonts w:ascii="Arial" w:cs="Arial" w:eastAsia="Arial" w:hAnsi="Arial"/>
          <w:sz w:val="28"/>
          <w:szCs w:val="28"/>
          <w:color w:val="auto"/>
          <w:vertAlign w:val="superscript"/>
        </w:rPr>
        <w:t>1</w:t>
      </w:r>
      <w:r>
        <w:rPr>
          <w:rFonts w:ascii="Arial" w:cs="Arial" w:eastAsia="Arial" w:hAnsi="Arial"/>
          <w:sz w:val="18"/>
          <w:szCs w:val="18"/>
          <w:color w:val="auto"/>
        </w:rPr>
        <w:t>/3% of our voting rights, which complies with Nasdaq requirements; however, if the meeting is adjourned for lack of quorum, the quorum for such adjourned meeting will be two or more shareholders, having any percentage of our voting rights;</w:t>
      </w:r>
    </w:p>
    <w:p>
      <w:pPr>
        <w:spacing w:after="0" w:line="200" w:lineRule="exact"/>
        <w:rPr>
          <w:rFonts w:ascii="Arial" w:cs="Arial" w:eastAsia="Arial" w:hAnsi="Arial"/>
          <w:sz w:val="35"/>
          <w:szCs w:val="35"/>
          <w:color w:val="auto"/>
          <w:vertAlign w:val="superscript"/>
        </w:rPr>
      </w:pPr>
    </w:p>
    <w:p>
      <w:pPr>
        <w:spacing w:after="0" w:line="218" w:lineRule="exact"/>
        <w:rPr>
          <w:rFonts w:ascii="Arial" w:cs="Arial" w:eastAsia="Arial" w:hAnsi="Arial"/>
          <w:sz w:val="35"/>
          <w:szCs w:val="35"/>
          <w:color w:val="auto"/>
          <w:vertAlign w:val="superscript"/>
        </w:rPr>
      </w:pPr>
    </w:p>
    <w:p>
      <w:pPr>
        <w:jc w:val="both"/>
        <w:ind w:left="660" w:hanging="328"/>
        <w:spacing w:after="0" w:line="26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approval of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approval of the compensation policy of the company for office holders and (f) certain private placements involving the issuance of 20% or more of our total voting rights, or private placements as a result of which a person will become a controlling shareholder of the company. In addition, under the Companies Law, a merger requires approval of the shareholders of each of the merging companies;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permitted by the Israeli Companies Law, our board of directors selects director nominees, and we do not have a written charter or board resolution addressing the nominations process. Directors are not selected, or recommended for board of director selection, by independent directors constituting a majority of the board’s independent directors or by a nominations committee comprised solely of independent directors as required by the Nasdaq Listing Rules.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Otherwise, we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 See “Management—Foreign Private Issuer and Controlled Company Status.”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as a foreign private issuer, we are exempt from the rules and regulations under the United States Securities Exchange Act of 1934, as amended, or the Exchange Act, related to the furnishing and content of proxy statements (including disclosures with respect to executive compensation),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companies whose securities are registered under the Exchange Act.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 (a) a majority of our ordinary shares and ADSs (calculated together) must be either directly or indirectly owned of record by non-residents of the United States or (b)(i) a majority of our senior management or directors may not be U.S. citizens or residents, (ii) more than 50 percent of our assets cannot be located in the United States and</w:t>
      </w:r>
    </w:p>
    <w:p>
      <w:pPr>
        <w:spacing w:after="0" w:line="1" w:lineRule="exact"/>
        <w:rPr>
          <w:sz w:val="20"/>
          <w:szCs w:val="20"/>
          <w:color w:val="auto"/>
        </w:rPr>
      </w:pPr>
    </w:p>
    <w:p>
      <w:pPr>
        <w:jc w:val="both"/>
        <w:ind w:firstLine="8"/>
        <w:spacing w:after="0" w:line="286" w:lineRule="auto"/>
        <w:tabs>
          <w:tab w:leader="none" w:pos="3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increased costs as a result of operating as a public company in the United States, and our management may be required to devote substantial time to new compliance initiatives.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whose ADSs are listed in the United States, and particularly after we no longer qualify as an emerging growth company, we may incur accounting, legal and other expenses that we did not incur prior to our listing on Nasdaq and registration with the SEC, including costs associated with our reporting requirements under the Exchange Act. We also anticipate that we may incur costs associated with corporate governance requirements, including requirements under Section 404 and other provisions of the Sarbanes-Oxley Act of 2002 (Sarbanes-Oxley Act), as well as rules implemented by the SEC and The Nasdaq Global Market, and provisions of Israeli corporate law applicable to public companies, and the rules of the TASE. These rules and regulations may increase our legal and financial compliance costs, introduce new costs such as investor relations, increased insurance premiums and stock exchange listing fees, and may make some activities more time-consuming and costly. Our board members and other personnel may need to devote a substantial amount of time to these initiatives. We are constantly evaluating and monitoring developments with respect to these rules, and we cannot predict or estimate the amount of additional costs we may incur or the timing of such costs.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future changes in the laws and regulations affecting public companies in the United States and Israel, including Section 404 and other provisions of the Sarbanes-Oxley Act, the rules and regulations adopted by the SEC, and the rules of the Nasdaq, will result in increased costs to us as we respond to such changes.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“emerging growth company,” as defined in the JOBS Act, we take advantage of certain temporary exemptions from various reporting requirements, including, but not limited to, not being required to comply with the auditor attestation requirements of Section 404 of the Sarbanes-Oxley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starting with the next annual report that we file with the SEC, our management will be required to report on the effectiveness of our internal control over financial reporting. In addition, once we no longer qualify as an “emerging growth company” under the JOBS Act and lose the ability to rely on the exemptions related thereto discussed above and depending on our status as per Rule 12b-2 of the Exchange Act, our independent registered public accounting firm may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determination and whether we will need to implement remedial actions in order to implement effective controls over financial reporting. The determination and any remedial actions required could result in us incurring additional costs that we did not anticipate, including the hiring of outside consultants. Irrespective of compliance with Section 404 of the Sarbanes-Oxley Act,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senior management. We cannot predict or estimate the amount or timing of additional costs we may incur in order to comply with such requirements.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requirements that are applicable to other public companies that are not “emerging growth companies.” Most of such requirements relate to disclosures that we would only be required to make if we also ceased to be a foreign private issuer in the future, for example, the requirement to hold shareholder advisory votes on executive and severance compensation and executive compensation disclosure requirements for U.S. companies. However, as a foreign private issuer, we could still be required to comply with the auditor attestation requirements of Section 404 of the Sarbanes-Oxley Act. We are exempt from such requirement for as long as we remain an emerging growth company, which may be up to five fiscal years after the date of our initial public offering on Nasdaq in April 2019. We will remain an emerging growth company until the earliest of: (a) the last day of our fiscal year during which we have total annual gross revenues of at least $1.07 billion; (b) December 31, 2024 (the last day of our fiscal year following the fifth anniversary of the closing of our initial public offering on Nasdaq); (c) the date on which we have, during the previous three-year period, issued more than $1.0 billion in non-convertible debt; or (d) the date on which we are deemed to be a “large accelerated filer” under the Exchange Act. We may choose to take advantage of some or all of the available exemptions. When we are no longer deemed to be an emerging growth company, we will not be entitled to the exemptions provided in the JOBS Act discussed above. We cannot predict if investors will find the ADSs less attractive as a result of our reliance on exemptions under the JOBS Act. If some investors find the ADSs less attractive as a result, there may be a less active trading market for the ADSs, and our share price may be more volatile.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the ADSs.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the ADSs.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will be required to assess the effectiveness of our internal controls and procedures and disclose changes in these controls on an annual basis.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which generally would result in certain adverse U.S. federal income tax consequences to our U.S. shareholders.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general, a non-U.S. corporation is a “passive foreign investment company” (a PFIC) for any taxable year in which (i) 75% or more of its gross income consists of passive income (the “income test”) or (ii) 50% or more of the average quarterly value of its assets consists of assets that produce, or are held for the production of, passive income (the “asset test”). Generally, “passive income” includes interest, dividends, rents, royalties, certain gains, and cash is a passive asset for PFIC purposes. We do not believe that we are currently a PFIC, and we do not anticipate becoming a PFIC in the foreseeable future. Notwithstanding the foregoing,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depend, in part, upon (i) the market price of the ADSs, which is likely to fluctuate, and</w:t>
      </w:r>
    </w:p>
    <w:p>
      <w:pPr>
        <w:spacing w:after="0" w:line="2" w:lineRule="exact"/>
        <w:rPr>
          <w:sz w:val="20"/>
          <w:szCs w:val="20"/>
          <w:color w:val="auto"/>
        </w:rPr>
      </w:pPr>
    </w:p>
    <w:p>
      <w:pPr>
        <w:jc w:val="both"/>
        <w:ind w:firstLine="8"/>
        <w:spacing w:after="0" w:line="290" w:lineRule="auto"/>
        <w:tabs>
          <w:tab w:leader="none" w:pos="2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composition of our income and assets, which will be affected by how, and how quickly, we spend any cash that is raised in any financing transaction. If we were a PFIC for any taxable year during which a U.S. shareholder owned the ADSs, such U.S. shareholder generally will be subject to certain adverse U.S. federal income tax consequences, including increased tax liability on gains from dispositions of the ADSs and certain distributions and a requirement to file annual reports with the Internal Revenue Service. In light of the foregoing, no assurance can be provided that we are not currently a PFIC or that we will not become a PFIC in any future taxable year. Prospective investors should consult their own tax advisers regarding our PFIC status. See “Material Tax Considerations—Certain U.S. Federal Income Tax Considerations—Passive Foreign Investment Company Considerations.”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legal and commercial name is BrainsWay Ltd. We are a limited liability company that was incorporated under the laws of the State of Israel in November 2006. We completed our initial public offering on the TASE in January 2007, and in April 2019 we completed the listing of our ADSs on The Nasdaq Global Market. Our ordinary shares are currently listed on the TASE under the symbol “BWAY”, and our ADSs are currently listed on The Nasdaq Global Market under the symbol “BWAY”. Our Israel-based principal executive offices are located at 19 Hartum Street, Bynet Building, 3rd Floor, Har HaHotzvim, Jerusalem 9777518, Israel, and our telephone number is +972-2-582-4030. We also have U.S. offices located in New Jersey and Boston. Our registered agent in the United States is Brainsway USA, Inc. The address of Brainsway USA, Inc. is 300 Knickerbocker Road, Cresskill, New Jersey, 07626.</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Securities and Exchange Commission, or SEC, maintains an Internet site that contains reports, proxy and information statements, and other information regarding issuers that file electronically with the SEC at http://sec.gov.</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ordinary shares have been traded on the TASE since January 4, 2007, and our ADSs have been traded on The Nasdaq Global Market since April 16, 2019. On February 25, 2021 we closed a follow-on underwritten public offering of ADSs with gross proceeds of approximately $45.2 million.</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web site address is http://www.brainsway.com. Information contained on, or that can be accessed through, our website does not constitute a part of this Annual Report.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capital expenditures for the years ended December 31, 2020, 2019, and 2018 were approximately $2.5 million, $3.3 million and $2 million respectively. Our current capital expenditures primarily involve purchase of equipment and system components.</w:t>
      </w:r>
    </w:p>
    <w:p>
      <w:pPr>
        <w:spacing w:after="0" w:line="16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 commercial stage medical device company focused on advancing neuroscience to improve health and transform lives. We are engaged in the development and commercialization of noninvasive neurostimulation products using our proprietary Deep Transcranial Magnetic Stimulation (Deep TMS) technology for the treatment of major depressive disorder (MDD), obsessive-compulsive disorder (OCD), and smoking addiction, for which we have received marketing authorization from the U.S. Food and Drug Administration (FDA). We have also received CE Mark for these as well as for a variety of other psychiatric and neurological indications.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We sell our Deep TMS system for the treatment of MDD and OCD and are currently launching a controlled market release for the treatment of smoking addiction. We believe that our Deep TMS technology has the potential to be safe and effective for the treatment of a wide range of additional psychiatric, neurological, and addiction disorders.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88" w:lineRule="auto"/>
        <w:rPr>
          <w:sz w:val="20"/>
          <w:szCs w:val="20"/>
          <w:color w:val="auto"/>
        </w:rPr>
      </w:pPr>
      <w:r>
        <w:rPr>
          <w:rFonts w:ascii="Arial" w:cs="Arial" w:eastAsia="Arial" w:hAnsi="Arial"/>
          <w:sz w:val="16"/>
          <w:szCs w:val="16"/>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According to a 2018 study cited by the World Health Organization (WHO), depression affects approximately 300 million people worldwide, with the rate of depression increasing in developed countries. The U.S. National Institute of Mental Health (NIMH) estimates that 17.3 million individuals in the United States suffer from a major depressive episode within a given year. Based on 2006-2007 data from the Sequenced Treatment Alternatives to Relieve Depression (STAR*D) study, we estimate that approximately 5.7 million adult MDD patients in the United States are considered treatment-resistant (i.e., do not benefit from anti-depressant medication), of which we estimate that approximately 3.4 million or more are currently eligible to receive reimbursement for Deep TMS from either governmental or private insurers. Assuming a course of treatment per patient of 33 treatment sessions and a price paid to us per treatment session of $70 (which is the price per treatment session used in our risk share pricing model), we believe our total annual addressable market opportunity for MDD in the United States is approximately $8 billion.</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 Based on data from the NIMH, we estimate that approximately 2.24 million adults in the United States suffer from OCD annually. Of these people, we estimate approximately 820,000 patients have sought treatment for OCD and approximately 410,000 are considered treatment-resistant. Assuming a course of treatment per patient of 29 treatment sessions and a price paid to us per treatment session of $70 (which is the price per treatment session used in our risk share pricing model), we believe our total annual addressable market opportunity for OCD in the United States is approximately $800 million.</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Smoking is one of the leading causes of death in developed countries. The addiction to nicotine, similar to the addiction to drugs and alcohol, involves modulation of the brain reward system and causes uncontrollable desire to smoke. 480,000 U.S. adults die from smoking each year. Cigarette smoking has been found to harm nearly every organ system in the body and is the leading cause of preventable death in the U.S. and of disease burden worldwide (Rostron, BL, Chang CM, Pechacek TF. Estimation of cigarette smoking-attributable morbidity in the United States, </w:t>
      </w:r>
      <w:r>
        <w:rPr>
          <w:rFonts w:ascii="Arial" w:cs="Arial" w:eastAsia="Arial" w:hAnsi="Arial"/>
          <w:sz w:val="16"/>
          <w:szCs w:val="16"/>
          <w:i w:val="1"/>
          <w:iCs w:val="1"/>
          <w:color w:val="auto"/>
        </w:rPr>
        <w:t>JAMA Intern Med</w:t>
      </w:r>
      <w:r>
        <w:rPr>
          <w:rFonts w:ascii="Arial" w:cs="Arial" w:eastAsia="Arial" w:hAnsi="Arial"/>
          <w:sz w:val="16"/>
          <w:szCs w:val="16"/>
          <w:color w:val="auto"/>
        </w:rPr>
        <w:t>. 2014;174(12):1922-1928). Approximately 34 million U.S. adults smoke cigarettes, of which 68% state they want to quit and 55% actually attempted to quit in 2018. Of those attempting to quit, 5.4 million made a serious attempt to quit (i.e. using medication). Only 15-20% of those making serious attempts to quit via mediation were successful, leaving approximately between 4.3 and 4.6 million adults who made serious attempts to quit via medication who were unsuccessful. Assuming a course of treatment per patient of 18 treatment sessions, and even assuming an average price paid to us per treatment session of $50, we believe our total annual addressable market opportunity for smoking addiction in the United States is approximately between $3.9 and $4.1 billion.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first commercial Deep TMS product received clearance from the FDA in 2013 for the treatment of MDD in adult patients who have failed to achieve satisfactory improvement from anti-depressant medication in the current episode. Our pivotal trial for MDD demonstrated statistically significant response and remission rates of 38.4% and 32.6%, respectively, in week five of Deep TMS treatment of 20 minutes per session, compared to 21.4% and 14.6%, respectively, after sham treatment. Our Deep TMS system for MDD is currently marketed to and installed at psychiatrists’ offices and other facilities principally in the United States and in certain other countries throughout the world.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FDA clearance of Deep TMS for MDD, we were the first medical device company to offer an FDA-authorized noninvasive treatment for OCD, the marketing authorization for which we received in August 2018 as an adjunct therapy for adult patients suffering from OCD. Our pivotal trial for OCD demonstrated statistically significant response and partial response rates of 38.1% and 54.8%, respectively, after six weeks of daily active Deep TMS treatment of 19 minutes per session, compared to 11.1% and 26.7%, respectively, after sham treatment.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the first and only TMS company to offer an FDA-cleared treatment for smoking addiction, which also represents the first FDA clearance for any TMS device in the addiction space. We received this clearance from the FDA in August 2020 for use of our Deep TMS system as an aid in short-term smoking cessation in adults. Our pivotal trial for smoking addiction demonstrated statistically significant results, with a 28.4% Continuous Quit Rate (CQR) – defined as abstinence from smoking for any 4-week period during the study – achieved among patients who completed the full course of therapy, compared with 11.7% of completers undergoing sham treatment.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color w:val="auto"/>
        </w:rPr>
        <w:t>We believe that Deep TMS represents a platform technology that provides for an opportunity to develop additional Deep TMS products for a variety of psychiatric, neurological and addiction disorders. We are planning multicenter trials for other indications, including multiple sclerosis (MS), which would be our first neurological indication, and various other addiction disorders beyond smoking addiction.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Patients may experience some discomfort during treatment and must use earplugs to reduce exposure to the loud sounds produced by the device. The treatment requires no anesthesia, hospitalization or sedation, and no systemic side effects are associated with the therapy.</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estimate that over 90% of the total private insurer adult covered lives in the United States have coverage for reimbursement of MDD treatment with Deep TMS, available after one to four failed (inadequate response or intolerable) trials of anti-depressant medications. In addition, our MDD treatment with Deep TMS is eligible for reimbursement from Medicare, and is expected to be available after one to four failed trials of psychopharmacologic agents (such as anti-depressant medications). Reimbursement is not yet generally available for Deep TMS for OCD or smoking addiction. We are actively engaged in efforts to obtain coverage for Deep TMS for OCD treatment based on the novelty of the technology, unmet clinical need and the efficacy and safety profile of the treatment, and plan to seek reimbursement for smoking addiction as our commercialization efforts for that indication progress.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is our primary and most strategic market, representing approximately 88% of our revenues for the year ended December 31, 2020. We operate in the United States through our wholly owned subsidiary, BrainsWay USA Inc, as a direct marketing and sales channel, where we currently have existing sales, marketing, and support infrastructure. We generate revenue from various flexible pricing models that are designed to maximize market penetration. For the year ended December 31, 2020, we generated revenues of $22.1 million, a decrease of 4.5% compared to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Deep TMS Platform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proprietary Deep TMS technology is intended for noninvasive treatment of psychiatric, neurological, and addiction disorders. The system includes an H-Coil uniquely designed to transmit electric current flows at varying rates, creating an electromagnetic field that serves to depolarize cortical neurons and activate neural networks in certain areas of the brain in accordance with the operating frequency, with the effect of treating the disorder associated with that area of the brain. Our innovative technology is capable of stimulating deeper and broader regions of the brain than any other commercially available TMS product.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developed a number of H-Coils with differing configurations, building upon our technology with important changes for each coil. For different regions of the brain which are known to be associated with specific brain disorders, we offer different H-Coils that are designed to influence the neurological networks of those regions. For example, we have one H-Coil that is used in our Deep TMS system for MDD, another H-Coil for that is used for OCD, and another H-Coil used for smoking addiction. Some of our H-Coils are also able to potentially treat more than one indication. The H-Coils transmit pulses which are generated by a power supply, known as a stimulator. We developed our own proprietary stimulator that is more advanced than our previously used third-party stimulator and improves our approved Deep TMS systems through its user-friendly software interface and other features. We expanded our FDA clearances in MDD, OCD, and smoking addiction, which had previously applied to our older model systems with third-party stimulators to now also include newer systems with our proprietary stimulator. In addition, we are currently developing a next generation multichannel stimulator allowing for simultaneous modulation of different areas of the brain with independent stimulation parameters, thus potentially enabling more flexible and effective treatment of various brain disorders, which we believe would make our Deep TMS systems even more attractive to clinicians, researchers and patients. This innovation is potentially well-positioned for use in neurology indications.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Our Deep TMS system is comprised of the various key components, as illustrated below. Each system can accommodate two helmets, and a third helmet can be incorporated using a separate auxiliary stand (not pictured).</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Helmet, including proprietary H-Coil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Stimulator, which provides the power supply and source of the Deep TMS electromagnetic field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Graphic User Interface (GUI)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or More Arm(s)/Positioning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Cooling System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Movable Medical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151765</wp:posOffset>
            </wp:positionV>
            <wp:extent cx="6858000" cy="4852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0"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our Deep TMS system has many advantages relative to other TMS products currently on the market. Our H-Coil is a flexible device encased in a helmet that fits securely around the patient’s head. This, together with the proprietary structure of our H-Coil, means that a much larger surface area of the head is in contact with the H-Coil. Furthermore, if the patient moves his or her head, the helmet—and thus the H-Coil—moves along with it, eliminating the need for features which prevent the patient from moving his or her head during therapy. In contrast, all other currently available TMS products utilize what we refer to as Traditional TMS, which generally utilizes a variation of the figure 8 coil that is placed adjacent to the scalp of the patient and needs to be specifically positioned and attached to the head in order to deliver focal stimulation of the desired area of the brain. Whereas some figure 8 coils are handheld by the operator, some Traditional TMS systems attach the coil to an apparatus designed to minimize the ability of the patient to move the head away from the relevant portion of the coil during therapy, and thus failing to achieve the required stimulation. These features either alert the operator in the event of a shift of the patient’s head away from the coil, or actually fasten the coil next to the patient’s head. In either case, only a small surface area on the patient’s head comes into contact with the figure 8 coil. Traditional TMS is limited to the narrow area treated, and the manual placing of the figure 8 coil in Traditional TMS may cause inaccuracies in the region treated. Studies suggest that the figure 8 coil misses the target in 33% of patients.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color w:val="auto"/>
        </w:rPr>
        <w:t>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The clearance for this indication is categorized as an adjunct therapy, which means that it should be administered in conjunction with other first-line therapies and/or medications, as determined in the independent medical judgment of the treating healthcare professional on a case-by-case basis. A course of treatment for smoking addiction typically requires 18 treatment sessions, comprised of treatment five times a week over a period of three weeks, followed by treatment once per week for an additional three weeks. A standard MDD, OCD or smoking addiction session lasts 20, 19 and 18 minutes, respectively. The protocol for OCD also requires a short provocation procedure (i.e., triggering of OCD symptoms), to ensure that Deep TMS is calibrated to treat the particular needs of the patient, which is then followed by a Deep TMS session. The treatments are typically office-based procedures performed in private clinics, hospitals, universities, and other medical centers. As with Traditional TMS, Deep TMS is contraindicated for patients with metallic objects or implanted stimulator devices in or near the head, including cochlear implants, deep brain stimulators, other implanted electrodes or stimulators, aneurysm clips or coils, stents, bullet fragments, jewelry, and hair barrettes. During treatment, the patient must use earplugs to reduce exposure to the loud sounds produced by the device.</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that Deep TMS has additional advantages over Traditional TMS because it is capable of stimulating deeper and broader areas of the brain. Studies have shown that while Traditional TMS devices create an electromagnetic field estimated to penetrate the cortical surface of the brain up to depths in the range of 0.7 centimeters to 1.1 centimeters, Deep TMS creates a magnetic field with a slower and more gradual deterioration that reaches depths from the cortical surface of approximately 1.8 centimeters for BrainsWay’s MDD coil, approximately 3.5 centimeters for BrainsWay’s OCD coil and approximately 1.5 centimeters for BrainsWay’s smoking addiction coil. Studies have also shown that BrainsWay’s MDD coil has the capacity for total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stimulated brain volume of 17 cm</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compared to 3 cm</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for the figure 8 coil used in Traditional TMS. We believe this deeper and broader penetration of Deep TMS provides an advantage over Traditional TMS because of its potential to address a wider variety of brain disorders, and for a given disorder, to stimulate more relevant brain structures.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training for operation of a Deep TMS system is relatively simple and generally requires a day of training which includes classroom lectures as well as a number of hours of practice providing treatment. The OCD training protocol also includes instruction on addressing specific obsessions and compulsions.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Deep TMS technology has advantages over Traditional TMS.</w:t>
      </w:r>
    </w:p>
    <w:p>
      <w:pPr>
        <w:spacing w:after="0" w:line="225"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believe that Deep TMS, with our proprietary H-Coil design, allows for deeper and broader penetration of regions of the brain compared to Traditional TMS, permitting Deep TMS to address a wider variety of psychiatric, neurological, and addiction disorders. We believe that this deeper and broader penetration provides us with the opportunity to address more indications with potentially greater clinical efficiency because Deep TMS stimulates a larger portion of the brain and is less sensitive to coil orientation and position during treatment. In addition, Deep TMS is administered at stimulation levels that we believe are as safe and tolerable as Traditional TMS.</w:t>
      </w:r>
    </w:p>
    <w:p>
      <w:pPr>
        <w:spacing w:after="0" w:line="176"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obtained FDA marketing authorizations of Deep TMS for MDD, OCD, and smoking addiction.</w:t>
      </w:r>
    </w:p>
    <w:p>
      <w:pPr>
        <w:spacing w:after="0" w:line="225" w:lineRule="exact"/>
        <w:rPr>
          <w:rFonts w:ascii="Arial" w:cs="Arial" w:eastAsia="Arial" w:hAnsi="Arial"/>
          <w:sz w:val="18"/>
          <w:szCs w:val="18"/>
          <w:b w:val="1"/>
          <w:bCs w:val="1"/>
          <w:i w:val="1"/>
          <w:iCs w:val="1"/>
          <w:color w:val="auto"/>
        </w:rPr>
      </w:pPr>
    </w:p>
    <w:p>
      <w:pPr>
        <w:jc w:val="both"/>
        <w:ind w:left="6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are the only manufacturer of a TMS device to have been FDA-cleared for three indications based on clinically proven efficacy which was demonstrated in pivotal studies conducted on the device: MDD, which was FDA-cleared in 2013, OCD, which was classified by FDA as a Class II device in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in August 2018, and smoking addiction, which was cleared for short term treatment in August 2020. For MDD, we are one of only two TMS companies that have performed clinical studies supporting the FDA clearance. For OCD, we are one of only two TMS companies to have devices which are FDA-cleared for this indication, but we are the only company to have received such clearance based on clinical data from a pivotal study on the device. For smoking addiction, we are the first and only TMS company to have received FDA clearance for the treatment of any addiction.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Our clinical data supports the efficacy and safety of Deep TMS.</w:t>
      </w:r>
    </w:p>
    <w:p>
      <w:pPr>
        <w:spacing w:after="0" w:line="225" w:lineRule="exact"/>
        <w:rPr>
          <w:rFonts w:ascii="Arial" w:cs="Arial" w:eastAsia="Arial" w:hAnsi="Arial"/>
          <w:sz w:val="18"/>
          <w:szCs w:val="18"/>
          <w:color w:val="auto"/>
        </w:rPr>
      </w:pPr>
    </w:p>
    <w:p>
      <w:pPr>
        <w:jc w:val="both"/>
        <w:ind w:left="328"/>
        <w:spacing w:after="0" w:line="289" w:lineRule="auto"/>
        <w:rPr>
          <w:rFonts w:ascii="Arial" w:cs="Arial" w:eastAsia="Arial" w:hAnsi="Arial"/>
          <w:sz w:val="18"/>
          <w:szCs w:val="18"/>
          <w:color w:val="auto"/>
        </w:rPr>
      </w:pPr>
      <w:r>
        <w:rPr>
          <w:rFonts w:ascii="Arial" w:cs="Arial" w:eastAsia="Arial" w:hAnsi="Arial"/>
          <w:sz w:val="16"/>
          <w:szCs w:val="16"/>
          <w:color w:val="auto"/>
        </w:rPr>
        <w:t>We believe that our clinical data supports the efficacy and safety of Deep TMS that will accelerate its market acceptance by clinicians. Our pivotal trial for MDD demonstrated statistically significant response and remission rates of 38.4% and 32.6%, respectively, in week five of Deep TMS treatment of 20 minutes per session, compared to 21.4% and 14.6%, respectively, after sham treatment. Our pivotal trial for OCD demonstrated statistically significant response and partial response rates of 38.1% and 54.8%, respectively, after six weeks of daily active Deep TMS treatment of 19 minutes per session, compared to 11.1% and 26.7%, respectively, after sham treatment. Our pivotal trial for smoking addiction demonstrated a statistically significant difference in reaching the Continuous Quit Rate (CQR), defined as 4-weeks of continuous abstinence from smoking at any point during the study. Among the 168 participants in the study who completed three weeks of Deep TMS or sham treatment, plus the mandatory additional three weeks of follow-up (reaching the six-week endpoint), the CQR was 28.4% in the treatment group, compared to 11.7% in the sham group (p=0.007). Overall, Deep TMS treatment was safe and well-tolerated by patients in these trials.</w:t>
      </w:r>
    </w:p>
    <w:p>
      <w:pPr>
        <w:spacing w:after="0" w:line="166"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We have a commercial track record for MDD, are ramping up commercialization for OCD, and launching a controlled market release for smoking addiction.</w:t>
      </w:r>
    </w:p>
    <w:p>
      <w:pPr>
        <w:spacing w:after="0" w:line="170"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We have an established commercial footprint in the United States for Deep TMS for MDD, including our own sales, marketing, and support employees at our U.S.-based subsidiary. We estimate that over 90% of total private insurer covered lives in the United States have coverage for reimbursement of MDD treatment with Deep TMS. In addition, our MDD treatment with Deep TMS may be eligible for reimbursement from Medicare. We are also currently selling Deep TMS for MDD in Europe, Mexico, Israel, and certain other countries. We are also increasing our commercialization efforts for Deep TMS for OCD. We believe that our installed base of Deep TMS systems for MDD will facilitate faster expansion into OCD because clinicians who already have a Deep TMS system only need to lease an add-on arm and helmet to the existing system. We are currently working to obtain insurance reimbursement coverage for OCD in the United States. We are currently working on the launch of a controlled market release of our system for the treatment of smoking addiction to be followed by a limited market release to a broader subset of customers. These two phases of the smoking addiction launch will allow the company to properly prepare for full market introduction of the therapy.</w:t>
      </w:r>
    </w:p>
    <w:p>
      <w:pPr>
        <w:spacing w:after="0" w:line="194"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Our flexible pricing models are designed to achieve market penetration.</w:t>
      </w:r>
    </w:p>
    <w:p>
      <w:pPr>
        <w:spacing w:after="0" w:line="225" w:lineRule="exact"/>
        <w:rPr>
          <w:rFonts w:ascii="Arial" w:cs="Arial" w:eastAsia="Arial" w:hAnsi="Arial"/>
          <w:sz w:val="18"/>
          <w:szCs w:val="18"/>
          <w:color w:val="auto"/>
        </w:rPr>
      </w:pPr>
    </w:p>
    <w:p>
      <w:pPr>
        <w:jc w:val="both"/>
        <w:ind w:left="328"/>
        <w:spacing w:after="0" w:line="270" w:lineRule="auto"/>
        <w:rPr>
          <w:rFonts w:ascii="Arial" w:cs="Arial" w:eastAsia="Arial" w:hAnsi="Arial"/>
          <w:sz w:val="18"/>
          <w:szCs w:val="18"/>
          <w:color w:val="auto"/>
        </w:rPr>
      </w:pPr>
      <w:r>
        <w:rPr>
          <w:rFonts w:ascii="Arial" w:cs="Arial" w:eastAsia="Arial" w:hAnsi="Arial"/>
          <w:sz w:val="17"/>
          <w:szCs w:val="17"/>
          <w:color w:val="auto"/>
        </w:rPr>
        <w:t>We operate commercially utilizing three basic pricing models for our products: (i) a fixed-fee lease model enabling unlimited use; (ii) a leasing risk share model requiring a pay-per-use fee, which often applies beyond a defined minimum fee; and/or (iii) a sales model. Warranty and support are either included (in varying degrees and for varying periods) or may be purchased as part of all pricing models. For Deep TMS for MDD, we offer customers all three pricing models. For Deep TMS for OCD, we generally offer customers either a fixed-fee lease model as part of a combined offering with MDD, or a pay per use fee model. As part of our launch of a controlled market release of Deep TMS for smoking, we plan to offer customers either a fixed-fee lease model or a sales model. We believe these different pricing models offer flexibility and allow for increased market acceptance among clinics and psychiatric professionals. Based on our commercial data, and depending on insurer reimbursement rates, we believe our psychiatrist customers for MDD systems can generate up to approximately $10,000 of gross revenues per patient, and in some cases more, for a course of treatment using our system.</w:t>
      </w:r>
    </w:p>
    <w:p>
      <w:pPr>
        <w:spacing w:after="0" w:line="180"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Deep TMS has potential applicability to a range of psychiatric, neurological, and addiction disorders.</w:t>
      </w:r>
    </w:p>
    <w:p>
      <w:pPr>
        <w:spacing w:after="0" w:line="225"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Deep TMS has the potential to serve as a platform technology that can address a potentially wide variety of other psychiatric, neurological, and addiction disorders by using the appropriate H-Coil structure for the targeted brain region. We are planning trials for opioid addiction, and other neurological indications. We were selected to be one of eight participants, out of over 250 applications, in the FDA Innovation Challenge: Devices to Prevent and Treat Opioid Use Disorder. Furthermore, in March 2019, the FDA granted our system a Breakthrough Device Designation for the Treatment of Opioid Use Disorder. The Breakthrough Devices Program is intended by the FDA to help patients have more timely access to medical devices which may provide more effective treatment of life-threatening or irreversibly debilitating diseases or conditions. As a result of these developments, all of our regulatory submissions for the planned opioids addiction study will be subject to priority review by senior FDA officials. Furthermore. In August 2020, we received 510(k) clearance from the FDA for our Deep TMS for its use as an aid in short-term smoking cessation in adults.</w:t>
      </w:r>
    </w:p>
    <w:p>
      <w:pPr>
        <w:spacing w:after="0" w:line="200" w:lineRule="exact"/>
        <w:rPr>
          <w:sz w:val="20"/>
          <w:szCs w:val="20"/>
          <w:color w:val="auto"/>
        </w:rPr>
      </w:pP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focused on expanding the commercialization of Deep TMS with respect to the two indications that have FDA marketing authorization, MDD and OCD. Simultaneously, we recently received a 510(k) clearance from the FDA for the Company’s Deep TMS system for its use as an aid in short-term smoking cessation in adults, due to our completed pivotal multicenter trial for this indication. In addition, we are actively engaged in research for other potential applications for Deep TMS for patients suffering from neurological conditions and addictions. For each potential indication, we assess and evaluate our technology’s efficacy, safety, patent status, market potential, and development and regulatory pathways. Our systematic approach to evaluating and developing applications for Deep TMS allows us to continually build upon our clinical pipeline, and advance those applications with the greatest clinical effect and revenue potential. We also plan to advance other technological innovations in the neuromodulation space for the improvement of our products. For example, we are currently developing a multichannel stimulator allowing for simultaneous modulation of different areas of the brain, as well as pursuing personalized treatment solutions allowing for providers to customize ideal treatment approaches for each patient.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Specific elements of our strategy include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Increase the full-scale commercialization of Deep TMS for MDD, accelerate commercialization of Deep TMS for OCD and launch commercialization of Deep TMS for smoking addiction.</w:t>
      </w:r>
    </w:p>
    <w:p>
      <w:pPr>
        <w:spacing w:after="0" w:line="197" w:lineRule="exact"/>
        <w:rPr>
          <w:rFonts w:ascii="Arial" w:cs="Arial" w:eastAsia="Arial" w:hAnsi="Arial"/>
          <w:sz w:val="18"/>
          <w:szCs w:val="18"/>
          <w:color w:val="auto"/>
        </w:rPr>
      </w:pPr>
    </w:p>
    <w:p>
      <w:pPr>
        <w:jc w:val="both"/>
        <w:ind w:left="660"/>
        <w:spacing w:after="0" w:line="275" w:lineRule="auto"/>
        <w:rPr>
          <w:rFonts w:ascii="Arial" w:cs="Arial" w:eastAsia="Arial" w:hAnsi="Arial"/>
          <w:sz w:val="18"/>
          <w:szCs w:val="18"/>
          <w:color w:val="auto"/>
        </w:rPr>
      </w:pPr>
      <w:r>
        <w:rPr>
          <w:rFonts w:ascii="Arial" w:cs="Arial" w:eastAsia="Arial" w:hAnsi="Arial"/>
          <w:sz w:val="17"/>
          <w:szCs w:val="17"/>
          <w:color w:val="auto"/>
        </w:rPr>
        <w:t>We are continuing to scale up our commercialization of Deep TMS for MDD as we seek to further penetrate the MDD market. We continue to focus our principal commercial activity on the U.S. market in light of the market size and wide range of insurance coverage. In addition, we commenced full-scale commercialization of Deep TMS for OCD, which is first noninvasive medical device FDA-authorized for the treatment of OCD, pending reimbursement coverage for this indication. In addition, we launched a controlled market release of Deep TMS for smoking addiction, which is currently the only noninvasive medical device FDA-authorized for the treatment of smoking addiction.</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Pursue additional indications and technological innovations for Deep TMS.</w:t>
      </w:r>
    </w:p>
    <w:p>
      <w:pPr>
        <w:spacing w:after="0" w:line="225" w:lineRule="exact"/>
        <w:rPr>
          <w:rFonts w:ascii="Arial" w:cs="Arial" w:eastAsia="Arial" w:hAnsi="Arial"/>
          <w:sz w:val="18"/>
          <w:szCs w:val="18"/>
          <w:color w:val="auto"/>
        </w:rPr>
      </w:pPr>
    </w:p>
    <w:p>
      <w:pPr>
        <w:jc w:val="both"/>
        <w:ind w:left="660"/>
        <w:spacing w:after="0" w:line="301" w:lineRule="auto"/>
        <w:rPr>
          <w:rFonts w:ascii="Arial" w:cs="Arial" w:eastAsia="Arial" w:hAnsi="Arial"/>
          <w:sz w:val="18"/>
          <w:szCs w:val="18"/>
          <w:color w:val="auto"/>
        </w:rPr>
      </w:pPr>
      <w:r>
        <w:rPr>
          <w:rFonts w:ascii="Arial" w:cs="Arial" w:eastAsia="Arial" w:hAnsi="Arial"/>
          <w:sz w:val="16"/>
          <w:szCs w:val="16"/>
          <w:color w:val="auto"/>
        </w:rPr>
        <w:t>We are working to expand the application to other areas as well such as forms of addictions, targeting first opioid addictions, as well as neurological indications such as MS. We intend to progress these plans ourselves and through our relationships with third-party researchers and clinical institutions in conducting clinical trials for additional psychiatric, neurological, and addiction disorders. With this approach, we address psychiatric, neurological, and addiction disorders that we believe present some of the most promising market opportunities for Deep TMS.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Expand reimbursement coverage for Deep TMS for OCD, smoking addiction and other approved indications in the future.</w:t>
      </w:r>
    </w:p>
    <w:p>
      <w:pPr>
        <w:spacing w:after="0" w:line="225"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 key prerequisite to the successful market acceptance of Deep TMS is securing sufficient insurance/third-party payer coverage. The scope and level of coverage are also key factors in our ability to penetrate the market and to expand further use of our Deep TMS system by healthcare providers and facilities for the benefit of the larger patient population. Our MDD treatment with Deep TMS is widely eligible for reimbursement, including from Medicare, subject to the satisfaction of certain clinical criteria. We aim to achieve similar levels of reimbursement for Deep TMS for OCD and for smoking addiction, which were granted marketing authorization in the United States, and we are also working to obtain reimbursement in other jurisdictions.</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Develop innovative enhancements and features for our Deep TMS systems.</w:t>
      </w:r>
    </w:p>
    <w:p>
      <w:pPr>
        <w:spacing w:after="0" w:line="225"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We continue to develop innovative enhancements and features for our Deep TMS systems to expand the applicability of Deep TMS to additional indications and improve the capabilities of the systems for approved indications. For example, we are currently developing a novel multichannel stimulator which is designed to target multiple brain regions simultaneously with independent stimulation parameters, thus potentially enabling more flexible and effective treatment of various brain disorders. These developments include the novel technology of rotational field TMS which involves the operation of two orthogonal coils to induce a rotating field in the brain. This method can stimulate neurons in various orientations, and we believe may potentially increase the efficacy of our technology in various applications. We further believe these enhancements hold the potential to make Deep TMS even more efficient for clinicians, researchers, and patients, and may serve to better position its use in neurology.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Increase our international commercial footprint.</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We are working to expand our existing commercial footprint in Europe, Asia, Latin America, and Israel, and pursue commercialization in additional markets, such as Japan and various Asian countries. We currently have exclusive distribution agreements in Japan, South Korea, Taiwan, Thailand, the Philippines, Ecuador, India, the United Arab Emirates, and Costa Rica.</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We obtained regulatory approval with the Pharmaceuticals and Medical Devices Agency (PMDA) in Japan, which is a precondition to receiving reimbursement coverage under the Japanese National Health Insurance Plan. We are working through our Japanese distributor with the relevant bodies in Japan to update the local society guidelines to include Deep TMS in order to obtain such coverage.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Israel, we directly provide operations for our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 TMS for MDD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MDD is expressed differently, and in different intensities, among patients, and significantly impacts the functioning in all aspects of life. Patients are often not diagnosed due to low levels of awareness of the disease and its symptoms by the patient and the family doctor involved, or due to prejudice related to psychotherapy. In order to be diagnosed with MDD, a patient must display symptoms that are present most of the day, nearly every day, for at least two weeks. A diagnosis of MDD is established by clinical interview, and an assessment of whether a patient reports a collection of the relevant symptoms.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MDD is a recurrent disease and follows a fluctuating course over an individual’s lifetime, with periods of remission and relapse. If an initial episode of MDD is resolved, the return of depressive symptoms during the first nine months thereafter is referred to as a relapse of the illness and is generally considered to be part of the same depressive episode. When depressive symptoms return more than 12 months after the initial episode of MDD is resolved, it is considered to be a recurrence of the illness and is deemed a new and distinct episode. A response to treatment is commonly measured as a clinically significant decrease in symptoms on a standardized rating scale from baseline scores. When a patient shows no or nearly no symptoms, the patient is referred to as being in remission. Experiencing one episode of MDD places an individual at an estimated 50% risk of experiencing an additional episode of MDD. Approximately 80% of those individuals who have experienced two episodes of MDD will experience an additional episode.</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people with MDD, the complex system of neuronal communication does not function properly. One of the most important discoveries in neuroscience has been the recognition that improper regulation of one or more of the three major neurotransmitters, serotonin, norepinephrine, and dopamine, plays a key role in a patient’s depression. This understanding has guided psychiatric drug development and the treatment of depression for more than three decades by placing a major focus on targeting chemically-based mechanisms. The relatively recent introduction of TMS as a targeted, circuit-based treatment option has reintroduced the importance of electrical mechanisms in restoring proper function to neuronal pathways to treat depression.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According to the WHO and the NIMH, an estimated 300 million people worldwide including 17.3 million individuals in the United States develop a major depressive episode within a given year. We estimate that there are 57 million depression patients in India, 55 million in China, 25 million in Europe, and 5 million in Japan. MDD is one of the most prevalent mental illnesses across all demographics. According to the Clinical Psychology Review, MDD follows a chronic course of repeated bouts of remission and recurrence in about 50% of people affected. The chronic nature of MDD makes it the leading cause of years lost to disability in the world, and MDD patients are more likely to commit suicide. According to the American Journal of Psychiatry, roughly 2% of MDD patients treated as outpatients, and 4% of those hospitalized because of their condition, commit suicide. In addition, studies suggest that some patients exhibit a higher mortality rate even after controlling for suicide. Due to the prevalence and severity of MDD, the treatment of the disorder is a pressing concern for mental health professionals.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focus on the population segment for whom conventional treatment (medicinal and/or psychotherapy) of MDD has not provided the required clinical response, as patients who are treatment-resistant and are entitled to reimbursement for Deep TMS treatment. It is customary to assess that approximately half of the sufferers from the illness do not respond to the first medicinal treatment, and that one-third do not find conventional solutions to their suffering at all. In addition, even among patients who receive medicinal treatment that is found effective, many suffer from severe side effects that cause them to abandon the treatment and be left with their depressive condition. We aim to meet the enormous need of these groups of treatment-resistant patients and provide effective, non-medicinal treatment which is not accompanied by the systemic side effects of the medication on the one hand and the electroconvulsive therapy (ECT) treatments on the other hand (such as damage to memory).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Options for MDD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Treatment for patients diagnosed with MDD varies by disease severity. For patients with mild to moderate depression, first line treatment is usually psychotherapy (the treatment of mental disorders by psychological means), especially if the patient is able to identify particular stressors or sources of depressive symptoms. For some of these patients, pharmacotherapy (anti-depressant medication) may be used to supplement psychotherapy. For patients with moderate depression, pharmacotherapy with or without psychotherapy is the recommended initial treatment. TMS is a second line therapy for the treatment of a patient who has failed to achieve satisfactory improvement from prior pharmacotherapy. For patients with severe depression and later stage treatment, somatic treatments such as ECT may be an option.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central group of anti-depressant medicines is the selective serotonin reuptake inhibitors (SSRI) and selective serotonin and norepinephrine reuptake (SNR). Drug side effects play a decisive role in treatment selection and modification, as each class of drugs is associated with a host of side effects, some more severe or more common than others. The most common side effects include gastrointestinal symptoms, sedation, insomnia, weight changes, sexual dysfunction, nervousness, sleep disruption, nausea, headaches, and cardiovascular or neurological effects. Side effects may also cause patients not to adhere to the treatment or to abandon it. On initiation of anti-depressant pharmacotherapy, close monitoring for response to treatment and development of side effects is essential.</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limitations of anti-depressant medications in MDD treatment were demonstrated in the STAR*D study, a large clinical trial funded by the NIMH that enrolled more than 4,000 adult MDD patients at 41 clinical sites to examine the outcomes to a sequenced series of anti-depressant medication attempts that mimicked best practices. In the study, only 36.8% and 30.6% of patients achieved remission in their first and second medication attempts, respectively. In addition, 30-40% of MDD patients did not experience a meaningful response to anti-depressant medication. This means that there is still a significant number of patients who could benefit from an alternative treatment such as Deep TMS.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Side effects are one of the most commonly cited reasons for patients terminating the use of anti-depressants. The most troubling side effects resulting from long-term anti-depressant use are insomnia, weight gain, and sexual dysfunction. In addition, correlation was discovered between consumption of SSRI medications and actualization of suicidal thoughts in youth, and some SSRI group medicines require strict diets and medical supervision.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7"/>
          <w:szCs w:val="17"/>
          <w:color w:val="auto"/>
        </w:rPr>
        <w:t>TMS has been used as an anti-depressant therapy since 2008. Currently, TMS for MDD is only recommended for treatment-resistant MDD patients, and payers typically require that patients fail three or more anti-depressant medications prior to receiving TMS. However, research has shown that TMS is also effective in treating depressive symptoms in patients who fail one to two anti-depressant medications. For many patients, the side effects associated with pharmacological treatments for depression are a primary reason underlying low compliance and, subsequently, low efficacy of treatment. For TMS, however, no significant side effects have been observed, other than mild headaches for a short period of up to a few hours after the treatment, and rare instances of short seizures. The few side effects associated with TMS treatment is considered one of its main advantages. The most common side effect of Deep TMS treatment is short-lasting mild pain or discomfort around the site of coil application. This side effect usually only lasts during the first week of treatment. Other adverse reaction reactions such as jaw and face pain, muscle pain, spasm or twitching, and neck pain were reported as mild or moderate and were also resolved shortly after treatment, as well as seizures in certain patients. The less severe side effects associated with Deep TMS make it an attractive option for patients.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Alternatives to pharmacological and TMS-based treatments include ECT, vagal nerve stimulation (VNS), and deep brain stimulation (DBS). ECT, the main psychotherapy alternative to TMS, is a therapy in which patients are administered brief electric currents through the brain. ECT is a noninvasive treatment carried out by a doctor under full anesthesia and muscle relaxant medicines, and patients often undergo partial hospitalization with recovery time lasting from hours to even days. While fewer treatment sessions are required (6-12 sessions) compared to TMS (20-30 sessions), each session lasts approximately an hour compared to the Deep TMS sessions that are about 20 minutes each. While ECT has high proven efficacy (70-75%) for patients with MDD, ECT’s potential for serious side effects, as well as negative stereotypes surrounding the treatment, often cause patients to be reluctant to undergo ECT. ECT affects the entire brain, including parts which do not need treatment, and may cause permanent cognitive damage, including memory loss. ECT may have significant and relatively severe side effects, the most common of which are cognitive and memory loss, changes in blood pressure, muscle pains, nausea, changes in mood, headaches, and pain or discomfort. ECT is currently approved for treatment-resistant depression, severe mania, schizophrenia, bipolar disorder, aggression or agitation in patients with dementia, and catatonia. It is provided usually in cases of severe MDD, where medicinal treatment is ineffective or impossible and in instances where the depression constitutes a risk to the life of the patient.</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VNS and DBS are invasive therapies that can have serious side effects. Both involve implanted devices, which require surgery. In DBS, two electrodes are surgically implanted in the brain and a pulse generator is implanted into the patient’s chest. The electrodes produce electrical impulses that can regulate the electrical activity of the brain. In VNS, a pulse generator is implanted on the upper left side of the chest to stimulate the vagus nerve. VNS and DBS include surgical related risks, such as infection or local damage to the recurrent laryngeal nerve, which may lead to permanent voice alteration.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TMS for MDD—Our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Trial Measuring Efficacy and Safety of Deep TMS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completed a Phase III trial at 20 different sites in the United States, Canada, Israel, and Germany to test the efficacy and safety of using Deep TMS to treat MDD between 2009 and 2013. The therapeutic effect was clinically meaningful in both patients who failed one to two medications and patients who failed three or more medications, indicating that Deep TMS is effective in an even more treatment-resistant population.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these results, we filed a 510(k) application to the FDA for Deep TMS using BrainsWay’s MDD coil. In 2013, the FDA cleared Deep TMS for the treatment of MDD in adult patients who have failed to achieve satisfactory improvement from previous anti-depressant medication treatment in the current episode.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Trial Design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randomized, double-blind, placebo-controlled, multicenter trial investigated the efficacy and safety of Deep TMS in 212 treatment-resistant adult MDD patients. Enrolled subjects were randomized in a 1:1 ratio to undergo either monotherapy with active Deep TMS or with a sham. For active Deep TMS treatment, BrainsWay’s MDD coil was used at 120% stimulation intensity and a frequency of 18 Hz.</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spacing w:after="0" w:line="296" w:lineRule="auto"/>
        <w:rPr>
          <w:sz w:val="20"/>
          <w:szCs w:val="20"/>
          <w:color w:val="auto"/>
        </w:rPr>
      </w:pPr>
      <w:r>
        <w:rPr>
          <w:rFonts w:ascii="Arial" w:cs="Arial" w:eastAsia="Arial" w:hAnsi="Arial"/>
          <w:sz w:val="16"/>
          <w:szCs w:val="16"/>
          <w:color w:val="auto"/>
        </w:rPr>
        <w:t>The trial was designed with three phases. The first phase was a wash-out phase in which patients slowly stopped any anti-depressants, mood stabilizers, or antipsychotics that they were previously taking. This phase lasted one to two weeks. The second phase was a four-week acute treatment phase in which patients received daily treatment with Deep TMS or a sham. The treatments were administered in a five-day sequence each week during the second phase. Measurements in respect of this phase were taken in week five. The final phase was a 12-week maintenance-continuation phase in which patients received two treatments per week of Deep TMS or a sham. Measurements in respect of the final phase were taken in week 16.</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efficacy endpoint was a change in the 21-question Hamilton Depression Rating Scale (HDRS) at week five (following the end of the acute treatment phase). The secondary efficacy endpoints were response and remission rates at week five. Response was defined as a reduction of at least 50% from baseline HDRS score. Remission was defined as a total HDRS score of less than 10. Tertiary efficacy endpoints included a change in HDRS score from baseline to week 16 and the response and remission rates at week 16. Safety was assessed at every treatment and additional safety evaluations included auditory threshold tests and cognitive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Inclusion and exclusion criteria required patients to meet the following criteria:</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Anti-depressant medication-free (following washout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respond to one to four anti-depressant trials or not tolerant of at least two anti-depressant treatments in the current episode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Diagnosed with MDD with a single or recurrent episode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Duration of current episode must be at least one month but less than seven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Score of at least four on the Clinical Global Impression Severity of Illness (CGI-S)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Score of at least 20 on the HDRS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current (or within past year) diagnosis of other Diagnostic and Statistical Manual of Mental Disorders (DSM-IV) Axis I disorders (e.g., PTSD, OCD, other mood disorders, eating disorders, psychotic disorders, or dissociative disorders)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history or increased risk of seizures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analysis, the study results were analyzed in two separate groups: the intention-to-treat (ITT) and per-protocol (PP) analysis sets. The ITT group included all subjects who met the eligibility criteria and received at least one Deep TMS treatment. Some of these patients, however, were not administered the treatment at the specified stimulation intensity of 120%. The PP patients included all subjects from the ITT group who received the protocol-specified treatment and stimulation intensity. Baseline demographic, clinical and safety assessments were performed on the ITT analysis set. Primary efficacy analysis was performed only on the PP group.</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Trial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efficacy endpoint was a change in the HDRS total score from baseline through week five. The change was measured as the slope of a graph of time point versus HDRS score. The estimated slope for the Deep TMS treatment group was −6.39 while the estimated slope for the sham treatment group was −3.28. The difference between groups was statistically significant (p = 0.008) for the PP group.</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secondary efficacy endpoints were response and remission rates through week five. As shown in Figure 1, response rates were 38.4% at week five for the Deep TMS group and 21.4% at the same time point for the sham group. Remission rates were 32.6% for the Deep TMS group and 14.6% for the sham group. The difference between groups was statistically significant for both response and remission rates (p = 0.0138 and p = 0.0051, respectively).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The tertiary efficacy endpoints were changes in HDRS scores, response, and remission rates at week 16 compared to baseline (see Figure 1 below). The difference in slope between Deep TMS and sham groups was 2.47, which was statistically significant (p = 0.0259). Additionally, the response rates at week 16 were 44.3% for the Deep TMS group and 25.6% for the sham group, which demonstrated a statistically significant difference between the groups (p = 0.0086). Remission rates at week 16 were 31.8% for the Deep TMS group and 22.2% for the sham group, which was a nonsignificant difference between groups (p = 0.1492).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Response and Remission Rates for Deep TMS and Sham Groups at Week 5 and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154305</wp:posOffset>
            </wp:positionV>
            <wp:extent cx="2082800" cy="3429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828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Levkovitz et al., 2015</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group of patients who failed one to two medications, remission rates were 36.6% in the Deep TMS group and 16.7% in the sham group. This was a statistically significant difference (p = 0.032). For the group of patients who failed three or more medications, remission rates were 28.9% for the Deep TMS group and 12.2% for the sham group. This difference was just outside of significance (p = 0.057). The data suggest that Deep TMS treatment can achieve high rates of remission even in patients who have been more resistant to medications.</w:t>
      </w:r>
    </w:p>
    <w:p>
      <w:pPr>
        <w:spacing w:after="0" w:line="183" w:lineRule="exact"/>
        <w:rPr>
          <w:sz w:val="20"/>
          <w:szCs w:val="20"/>
          <w:color w:val="auto"/>
        </w:rPr>
      </w:pPr>
    </w:p>
    <w:p>
      <w:pPr>
        <w:jc w:val="center"/>
        <w:ind w:left="340" w:right="180"/>
        <w:spacing w:after="0" w:line="282" w:lineRule="auto"/>
        <w:rPr>
          <w:sz w:val="20"/>
          <w:szCs w:val="20"/>
          <w:color w:val="auto"/>
        </w:rPr>
      </w:pPr>
      <w:r>
        <w:rPr>
          <w:rFonts w:ascii="Arial" w:cs="Arial" w:eastAsia="Arial" w:hAnsi="Arial"/>
          <w:sz w:val="18"/>
          <w:szCs w:val="18"/>
          <w:b w:val="1"/>
          <w:bCs w:val="1"/>
          <w:color w:val="auto"/>
        </w:rPr>
        <w:t>Figure 2. HDRS Score Change (Slope) and Remission Rates for Deep TMS and Sham Groups in Subpopulations of Patients Who Failed 1 to 2 Medications versus Patients Who Failed 3+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114300</wp:posOffset>
            </wp:positionV>
            <wp:extent cx="2057400" cy="3429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Levkovitz et al.,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Safety Results</w:t>
      </w:r>
    </w:p>
    <w:p>
      <w:pPr>
        <w:sectPr>
          <w:pgSz w:w="11900" w:h="16838" w:orient="portrait"/>
          <w:cols w:equalWidth="0" w:num="1">
            <w:col w:w="11240"/>
          </w:cols>
          <w:pgMar w:left="320" w:top="692" w:right="339" w:bottom="38"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Overall, Deep TMS treatment was safe and well-tolerated by patients. The most common reported side effects within the Deep TMS group are as follows: 26.7% of patients experienced headaches, 5.0% experienced application site pain, and 3.0% experienced application site discomfort. The most common reported side effects within the sham group are as follows: 18.9% of patients experienced headaches, 3.6% experienced insomnia, and 2.7% of patients experienced back pain. One subject experienced a seizure, following excessive consumption of alcohol on the night before treatment that was not reported to the treating physician or operator at the time of treatment. This was considered device-related, albeit with the caveat that withdrawal from alcohol may have led to a reduction of seizure threshold and consequently to this seizure during Deep TMS.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Longer-Term Remission and Response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demonstrated our pivotal multicenter study for MDD (as described above), and in another third-party study (Harel et al. (2014)), MDD patients who achieved remission or response after an acute course of Deep TMS treatment of 20 sessions over four weeks were able to sustain the therapeutic effect by continuing to undergo Deep TMS treatment beyond the treatment course. Additionally, our trial and the Harel study showed that among MDD patients who did not achieve a response after an acute course of Deep TMS treatment, the longer such patients continued to undergo Deep TMS therapy, the more likely they were to achieve remission or response. This result was also demonstrated in another study examining the results of our multicenter trial (Yip et al. (2017)), which found that 72.7% of the patients who did not achieve response after an acute course of treatment achieved a response within the next 12 weeks (which involved twice weekly Deep TMS treatment), of which 60.6% achieved response within the first four weeks. These studies suggest that Deep TMS may continue to be effective beyond the standard acute treatment course, potentially broadening its clinical applicability.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 TMS for OCD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Individuals with OCD exhibit obsessions, compulsions, or both. Obsessions are reoccurring ideas, thoughts, or impulses that cause anxiety that individuals experience excessively and without cause. Compulsions are defined as repetitive behaviors or thoughts that are performed on a strict schedule and appear to have a purpose to the patient exhibiting the behavior or thought. Even if an individual is aware that the thoughts are inappropriate or irrelevant, he or she still might not be able to suppress the thought or the corresponding action. Obsessions tend to be related to contamination, cleanliness, or orderliness, and so compulsions frequently involve cleaning, washing, counting, arranging things in a particular way, or repeatedly checking on things. These symptoms can interfere with all aspects of life, such as work, school, and personal relationships. While a wide spectrum of individuals may exhibit OCD-like symptoms, in order to be diagnosed with OCD, he or she must exhibit symptoms that cause severe distress or disrupt a person’s functioning for more than one hour per day.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OCD can severely disrupt an individual’s daily functioning, and many individuals suffering from OCD have a lower quality of life and significantly more mental distress compared to unaffected individuals. A survey of OCD patients found that 73% of patients have weakened family relationships, 62% have weakened friendships, and 40% are chronically underemployed or unemployed. Patients with both OCD and MDD, a frequent combination of disorders, experience the most severely impacted quality-of-life. Additionally, individuals with OCD may feel embarrassment or shame regarding their obsessions and compulsions, contributing to the low treatment-seeking rate of approximately 36%.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variances in estimates of the incidence of the disorder, we believe that a majority of research reports that 2% of the global population suffer from OCD sometime during their lifetime. According to the National Institute of Mental Health, approximately 1% of the adult population in the United States suffered from OCD in the past year. Based on these data, we estimate that approximately 2.24 million adults in the United States suffer from OCD annually. Of these people, we estimate approximately 820,000 patients have sought treatment for OCD, and approximately 410,000 are treatment resistant. Of that population, 50.6% of cases are characterized had severe impairment. Another 34.8% of adults with OCD had moderate impairment, and 14.6% had mild impairment. The average age of onset is 19 years old.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There is a significant overlap of patients experiencing MDD and those experiencing OCD. Researchers found that MDD was 10 times more prevalent in OCD patients compared to the general population. Additionally, roughly 30% of OCD patients have concurrent OCD and MDD at the time of evaluation, and 60 to 80% of OCD patients experience a depressive episode over the course of their lifetime. Frequently, depressive symptoms follow OCD, which suggests that the depressive symptoms occur as a response to the distress caused by OCD.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Options for OCD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OCD is generally considered to be one of the most difficult psychiatric diseases to treat. The wide variability in the expression of the disease and the frequent co-morbidity (simultaneous presence) with MDD and other anxiety disorders has complicated the development of an effective, targeted treatment for OCD. The accepted treatment for OCD is medicinal treatment, psychotherapy or a combination of both. However, up to 40% of patients do not respond to these treatments sufficiently.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60-70% of patients respond or partially respond to treatment with anti-depressant medications such as SRIs or SSRIs, there is a high relapse rate of approximately 60% when medications are stopped. The high relapse rate suggests that pharmacological treatments should be continued over an extended period of time in order to have continued effect. In addition, when testing a new pharmacological treatment on a patient, it takes 10 to 12 weeks to determine if the medication is bringing about clinically significant improvements in symptoms. Over half of patients experience a 25% to 35% decrease in symptoms within 10 to 12 weeks, but symptoms rarely disappear entirely. In addition, 40-60% of OCD patients do not experience a meaningful response to pharmacological treatment.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Deterrents to treatment include the often severe side effects of medications. Tricyclic anti-depressant medication, generally considered to be an effective first-line OCD treatment, is known for its particularly strong side effect profile. The medication can cause heightened risk of seizures, weight gain, sleepiness, tremor, dry mouth, nausea, constipation, visual changes, sweating, and sexual dysfunction. All other OCD medications may cause similar side effects, which make it challenging for patients to retain a high quality of life while also working toward disease remission. Upon initiation of pharmacological treatment for OCD, it is critical to closely monitor for development of any adverse effects.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Psychotherapy can be an effective treatment for adults and children with OCD. The treatment may involve controlled exposure to the source of the obsession and practice of refraining from performance of the compulsion. Research shows that certain types of psychotherapy, including cognitive behavior therapy (CBT) and other related therapies (e.g., habit reversal training) can be as effective as medication for many individuals. Research also shows that a type of CBT called Exposure and Response Prevention (EX/RP) is effective in reducing compulsive behaviors in OCD, even in people who did not respond well to anti-depressant medication. For many patients EX/RP is the add-on treatment of choice when anti-depressant medication does not effectively treat OCD symptoms.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Deep TMS presents a novel, FDA-authorized treatment for OCD. In August 2018, the FDA classified and provided marketing authorization for Deep TMS for OCD as an adjunct treatment (i.e., to be used in conjunction with first-line treatment, such as anti-depressant medication or CBT) for adult patients suffering from OCD. Deep TMS has the unique ability to simultaneously influence a network of specific regions in the brain related to OCD. In addition, it offers a direct effect over deep regions in the brain associated with the disorder. The effects of the treatment begin within a relatively short time period and the duration of the entire treatment plan is shorter compared to a medicinal treatment. Deep TMS therapy for OCD has not demonstrated any systemic side effects, and we believe that Deep TMS presents an attractive alternative to existing treatment options for OCD because anti-depressant medications, due to their side effects, often lead to cessation of treatment by the patient and as a result, relapse of OCD symptoms.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NIMH is supporting research into new treatment approaches for people whose OCD does not respond well to the usual therapies. These new approaches include combination and add-on (augmentation) treatments, as well as novel techniques such as deep brain stimulation (DBS).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Deep TMS for OCD — Our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Trial Measuring Efficacy and Safety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completed a Phase III trial at 11 sites in the United States, Israel, and Canada to test the efficacy and safety of Deep TMS as a treatment for OCD, which was conducted from 2014 through 2017. In this trial, Deep TMS met its safety and efficacy endpoints and based on these results, we filed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to the FDA for the Deep TMS (using BrainsWay OCD) in this indication. In August 2018, the FDA classified and granted marketing authorization for Deep TMS as an adjunct treatment for adult patients with OCD to be used together with other first-line therapies.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Trial Design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double blind, placebo-controlled trial tested the efficacy and safety of Deep TMS in the treatment of 94 treatment-resistant OCD patients. Enrolled subjects were randomized to either treatment with active Deep TMS or a sham. Deep TMS for OCD was used for all treatment sessions, each of which lasted 18.3-minutes. BrainsWay OCD is specifically used in OCD treatment because it targets the anterior cingulate cortex, a region believed to be affected by OCD.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trial consisted of three phases. The first phase, lasting one to two weeks, was the screening phase, during which anti-depressant medications other than SSRIs were tapered down and washed out (i.e., to make sure that patients take during the trial only medications that were approved by the protocol (such as SSRIs), and that they remained stable on these medications). Following the screening phase, patients entered into a six-week treatment phase. During the first five weeks of the treatment phase, patients received five consecutive sessions per week, followed by one week with four sessions (29 total treatment sessions). The third phase was the follow-up, in which patients were assessed in week six after their final treatment.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endpoint measure was the Yale-Brown Obsessive Compulsive Scale (YBOCS), which is a score ranging from 0 to 40, with higher scores indicating greater severity of OCD symptoms. The secondary efficacy endpoint measures were response rate at weeks 6 and 10, partial response rate at weeks 6 and 10, and remission rates at week 6. Secondary safety endpoint measures included the number of adverse events, physical and cognitive evaluations, and vital signs.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Inclusion and exclusion criteria required patients to be diagnosed with OCD, have a YBOCS score of greater than 20, and not be diagnosed with any severe personality disorders.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Trial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six weeks of treatment, the Deep TMS treatment group had statistically significant improvement in YBOCS score compared to the sham treatment group. The adjusted mean YBOCS score decreased by 6.04 points in the Deep TMS group and by 3.27 points in the sham control group. The difference between the slopes of 2.78 points across six weeks between the treatment arms was statistically significant (p-value: 0.0127), and the effect size at week six assessment was 0.69. As shown in Figure 3, 38.1% of the Deep TMS treatment group achieved a response compared to 11.1% of the sham treatment group. Furthermore, 54.8% of the Deep TMS treatment group achieved a partial response, compared to 26.7% of the sham treatment group. The differences between groups were statistically significant for both response rate (p = 0.0033) and partial response rate (p = 0.0076).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Figure 3. Response and Partial Response Rates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3000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month after the end of treatment (10 weeks after baseline), patients retained clinical improvement of symptoms, and these measures (YBOCS change and response rate) were significantly better in the Deep TMS group compared to the sham group (p=0.03 for YBOCS change and p=0.0057 for response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Figure 4 highlights the continued decrease in unadjusted mean YBOCS score from baseline over the ten-week period.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 Total YBOCS Score Change from Baseline over 10-Weeks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154305</wp:posOffset>
            </wp:positionV>
            <wp:extent cx="3463290" cy="2734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632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Real world data further demonstrates the benefits of Deep TMS for OCD: In a post-marketing study, published as a peer-reviewed paper, the overall first and sustained response rates were 72.6% and 52.4%, respectively. The response rate was 57.9% in patients who had YBOCS scores after the FDA-cleared protocol of 29 Deep TMS sessions. First response was achieved in average after 18.5 sessions (SD = 9.4) or 31.6 days (SD = 25.2). Onset of sustained one-month response was achieved in average after 20 sessions (SD = 9.8) or 32.1 days (SD = 20.5). Average YBOCS scores demonstrated continuous reduction with increasing numbers of sessions. The results indicate that in real-world clinical practice, the majority of OCD patients benefitted from our therapy, and the onset of improvement usually occurs within 20 sessions. Extending the treatment course beyond 29 sessions resulted in continued reduction of OCD symptoms, raising the prospect of value for extended treatment protocols in non-responders.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 TMS for Smoking Addiction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Smoking is one of the leading causes of death in developed countries. The addiction to nicotine, similar to the addiction to drugs and alcohol, activates the limbic system and causes uncontrollable desire to smoke. According to the World Health Organization (WHO), 1.3 billion people globally use tobacco, primarily cigarette smoking. Globally, more than 8 million people die from smoking each year: 7 million from direct us and 1.2 million from second-hand smoke. Approximately 34 million U.S. adults smoke cigarettes, and 480,000 die from smoking each year. Repeated nicotine use leads to tobacco use disorder (TUD), characterized by craving and withdrawal, compulsive use despite negative consequences, repeated relapses, and is associated with multiple health problems and failed attempts to cease. Smoking causes about 90% of all lung cancer deaths.</w:t>
      </w:r>
    </w:p>
    <w:p>
      <w:pPr>
        <w:sectPr>
          <w:pgSz w:w="11900" w:h="16838" w:orient="portrait"/>
          <w:cols w:equalWidth="0" w:num="1">
            <w:col w:w="11240"/>
          </w:cols>
          <w:pgMar w:left="320" w:top="904" w:right="339" w:bottom="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global nicotine replacement therapy (NRT) market was estimated at $2.6 billion in 2019, and this market value is anticipated to increase as a result of the increasing incidence of chronic, smoking-related diseases. Chantix (Varenicline), the leading smoking cessation pharmaceutical from Pfizer, had sales of $1.1 billion worldwide in 2019, $899 million from the United States. Considering the U.S. market, there are 34 million cigarette smokers. Each year, 55% attempt to quit smoking (81% of which are motivated to quit.). Only 29% of adult smokers that attempt to quit report using medication (e.g. NRT, Varenicline, Buproprion), and less than 10% of smokers quit within a given year with varied long-term success.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Options for Smoking Addiction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of the most common smoking addiction options is nicotine replacement therapy (NRT), which is the affixing of patches to the body or the chewing of gum which secrete decreasing concentrations of nicotine in a manner which may assist physical withdrawal. However, this method does not treat the psychological-behavioral component of the addiction, and therefore there is a high probability that the patient will return to smoking if nicotine patch treatment is discontinued. A study found that 93% of over-the-counter NRT users relapse and return to smoking within six months.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line treatment options include antidepressants such as Zyban (bupropion) and Chantix (varenicline). Studies have found advantageous abstinence rates compared to placebo. Yet, recent studies using objective measures found very low quit rates. A recent meta-analysis found that 20% of smokers treated with medications remained abstinent for one year, compared to 12% with placebo. The medications may frequently be associated with undesirable adverse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studies that indicate that combination of psychological support with pharmacotherapy may increase the chances to quit smoking.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TMS for Smoking Addiction – Our Clinical Trials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Deep TMS presents a novel, FDA-authorized treatment for smoking addiction. In August 2020, the FDA classified and provided marketing authorization for the use of Deep TMS as an aid in short-term smoking cessation in adults. Deep TMS has the unique ability to simultaneously influence a network of specific regions in the brain associated with reward and craving. The effects of the treatment begin within a relatively short time period and the duration of the entire treatment plan is shorter compared to a medicinal treatment. Deep TMS therapy for smoking cessation has not demonstrated any systemic side effects, and we believe that Deep TMS presents an attractive alternative to existing treatment options for smoking cessation because anti-depressant medications, due to their side effects, often lead to cessation of treatment by the patient and as a result, relapse to smoking.</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concluded with positive results a pivotal multicenter trial assessing the safety and efficacy of Deep TMS as an aid in smoking cessation in adults suffering from chronic smoking addiction.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trial was a randomized, double-blind, multicenter study designed to evaluate the safety and efficacy of Deep TMS treatment as an aid in reducing cigarette smoking in individuals suffering from chronic smoking addiction. It was conducted at 14 sites, primarily in the U.S., and enrolled 262 eligible subjects randomized into two groups: an active treatment group treated with our proprietary H4 coil targeting addiction-related brain circuits, and a sham (placebo) control group. The primary endpoint of the study was a comparison between the two groups of the four-week continuous quit rate (CQR), representing abstinence during a consecutive four-week period. Weekly abstinence was defined as a subject’s self-report (in a diary) of no smoking, confirmed by urine tests indicating abstinence from smoking. The participants in the study were highly addicted to smoking, with a history of smoking on average for over 26 years and multiple failed attempts to quit. All of the subjects in the study had at least one prior unsuccessful attempt to quit smoking before being enrolled in the trial. Over 68% of the subjects had undertaken at least three prior unsuccessful attempts, and over 25% had undertaken at least five prior unsuccessful attempts.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Participants received three weeks of daily Deep TMS (or sham) treatment followed by one session per week for three more weeks (for a total of 18 treatments over six weeks). Assessment visits, including questionnaires and the collection of urine samples, were performed weekly from week two until week six. In addition, subjects were asked to keep a record of their smoking behavior on a diary card. Patients reporting abstinence at 6 weeks were invited for a long follow-up (L-UP) visit at 4 months.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the 169 participants in the study who actually completed three weeks of Deep TMS or sham treatment, plus the mandatory additional three weeks of follow-up (reaching the six-week endpoint), the CQR was 28.0% in the treatment group compared to 11.7% in the sham group (p=0.007). The primary endpoint was defined based on the CQR among those subjects who received at least one Deep TMS (or sham) treatment session and had at least one post-baseline assessment, even if not completing the treatment period. Within this cohort (ITT-E- which consisted of 234 participants and included dropouts) the CQR was 19.4% in the treatment group and 8.7% in the sham group (p= 0.0174).</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Overall 4-week continuous quit rate (CQR) is shown in the figure below for the active dTMS and sham groups, within the ITT-E and completers (CO) cohorts.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Overall 4-week Continuous Quit Rates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3248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important secondary endpoint was the reduction in the number of cigarettes smoked. At baseline, the average number of cigarettes smoked per week was 123 for the active group and 139 for the sham group. After 3 weeks of treatment, the average number of cigarettes smoked per week was reduced to 38 in the active group and 57 in the sham group (p= 0.0018, active vs. sham). By the sixth week of the study, the average number of cigarettes smoked per week declined to 31 for the active group and 48 for the sham group (p=0.0125, active vs. sham).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numbers of cigarettes per week, from baseline to the 6-week time-point, are shown in the figure below for the two groups. As can be seen, the difference between the dTMS and sham group is significant starting from week 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Figure 6. Number of Cigarettes Smoked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2143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United States is our primary and most strategic market, representing approximately 88% of our revenues for the year ended December 31, 2020. We operate in the United States through our wholly owned subsidiary, BrainsWay USA Inc., as a direct marketing and sales channel, engaging in the marketing, sale, support, and logistics independently in the United States. As of December 31, 2020, we had 42 U.S. employees, including 24 sales and marketing employees, and 16 management, administration, and operation employees at our U.S.-based subsidiary.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United States, we sell or lease Deep TMS systems by one of the following methods: (i) a fixed-fee lease model in which the Deep TMS system is leased to a customer for a fixed annual fee, generally with a term of up to 54 months, for unlimited use; (ii) a risk share model (variable fees) in which the Deep TMS system is leased to a customer which pays fees based on the number of treatments (i.e., usage based fees), often beyond a contractually defined minimum amount; and (iii) a sales model in which the Deep TMS system is sold to the customer for a fixed purchase price, with additional potential revenue from annual warranty paid for the system for each year subsequent to the expiration of the standard warranty for the first year. These three models are designed to facilitate market penetration by addressing the differing clinical needs and risk tolerance among our customer base. While the lease and sales models enable unlimited use of the system by the customer in exchange for higher committed revenues, the risk share model allows for a lower market entry price with higher potential upside to us for customers that exceed the contracted minimum usage amount.</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2020, approximately 47% of our Deep TMS systems installed base for MDD utilized the fixed-fee lease model, approximately 43% utilized the sales model, and approximately 10% utilized our risk share model. We commercialize Deep TMS for OCD based either on the risk share model, which charges per session and per treatment, or based on a fixed lease model as part of a combined offering with our MDD system.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training for operation of our Deep TMS system is not complex and requires about a day of training which includes theoretical learning and a number of practical hours of practice of placing the helmet on the head of the patient and providing treatment. Deep TMS for OCD requires additional training on triggering the patient’s OCD symptoms prior to administration of the treatment.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After installation of our system, we offer high quality service, technical support, and repair to customers. Customers leasing the device (whether fixed lease or risk share model lease) receive support including maintenance and warranty for repairs and replacements during the full term of the lease. In contrast, customers purchasing the device receive this support for the first year following purchase. Thereafter, the warranty and support can be extended on a yearly basis by paying a set fee.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marketing activities include, amongst other things, corporate presence in major commercial and professional conferences, press releases, advertising, participation in open house and other similar events, social media, Search Engine Optimization (SEO), and other internet-based promotional campaigns, and release of both direct and online marketing materials, which are all designed to increase the use of our systems for the authorized indications.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the United States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12% of our revenues for the year ended December 31, 2020 was generated outside of the United States. A significant part of our sales outside the United States are made indirectly with local distributors and agents. Most of our sales outside the United States are made only via the purchase model, although we lease some of our Deep TMS systems in France and Israel. Our primary focus is on selling to hospitals, medical centers and clinics dealing with the treatment of psychiatric neurological and addiction illnesses and disorders.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non-U.S. sales are managed both by our internal team in Israel and by local agents in various countries. In Israel, we do not use a distributor and our sales team distributes directly to our customers. We have exclusive distribution agreements in Japan, South Korea, Thailand, Taiwan, the Philippines, Ecuador, India, the United Arab Emirates, and Costa Rica, and are seeking new distribution partners for other strategic markets. Under our distribution agreements, the distributor typically receives an exclusive right to commercialize the Deep TMS in the relevant territory. The exclusivity is contingent upon fulfillment of certain quotas, or pre-defined minimum orders of a number of systems per period. We have the right to cancel the exclusivity of the distributor if the distributor fails to fulfill the set targets. The distributor is required to pay us for each Deep TMS system installed in the territory.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duration of these agreements varies between distributors and ranges between three and ten years. In territories in which we use a local distributor, the distributor is generally responsible for obtaining and maintaining the regulatory approvals required for marketing of Deep TMS systems in the territory and for the installation, training, and maintenance of the systems in the relevant territory. In Japan, we have obtained PMDA regulatory approval for our Deep TMS system, which is a precondition to receiving reimbursement coverage under the Japanese National Health Insurance Plan. We are working through our Japanese distributor with the relevant bodies in Japan in an effort to update the local society guidelines to include Deep TMS in order to obtain such coverage.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increase our marketing and sales outside the United States by means of cultivating and supporting our existing distributors, and by considering other strategic opportunities in various markets. Success of penetration in each country is contingent on a variety of factors, including, among others, the strength and capabilities of the distribution partner, the existence of regulatory approvals, the availability of reimbursement, the support of key opinion leaders, and the ability of customers to adopt our technology.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Our Clinical Pipeline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a table presenting the status of our currently planned 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151765</wp:posOffset>
            </wp:positionV>
            <wp:extent cx="6858000" cy="17487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0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Potential Deep TMS Applications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focus for additional potential applications for Deep TMS are fatigue in MS, addictions (for example, opioid addiction and/or alcohol addiction) and potentially additional indications in neurology. The U.S. patient population for MS is approximately 1 million.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conducted double-blind, placebo-controlled trials evaluating Deep TMS for post stroke rehabilitation Alzheimer’s disease (in Israel and Italy), autism spectrum disorders such as Asperger syndrome (in Australia), alcohol addiction (in Israel and Sweden), attention deficit hyperactivity disorder (ADHD) (in Israel), Parkinson’s disease (in Israel and Italy), and chronic neuropathic pain (in Japan, Italy, France, and Norway). We believe further clinical study in these and other potential indications could pave the way for marketing authorizations for new indications in the United States and expand the potential for treatment to a wider range of patients. Factors that contribute to how we prioritize the pursuit of certain clinical studies include, but are not limited to, the strength of our feasibility clinical data, market potential, required budget, and ease of conduct of the trial. However, there is no guarantee that we will ultimately be successful in obtaining marketing clearance for the indications prioritized for further study.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industry for the treatment of mental health diseases, disorders, and other conditions is intensely competitive. Our currently marketed Deep TMS System is, and any future indications we develop and commercialize will be, subject to intense competition. Our Deep TMS system for MDD competes with existing anti-depressant drugs, other TMS therapies and to a lesser degree, more invasive treatments such as ECT, VNS, and DBS. Our Deep TMS system for OCD also competes with existing medications and other available treatments, although faces less direct competition as we are one of only two FDA-cleared TMS products for this indication. The industry in which we operate is subject to rapid change and is highly sensitive to the introduction of new products or other market activities of current or new industry participants. Our competitors may be larger and have greater resources than us, and may develop treatment options that receive faster regulatory approvals and/or are more rapidly adopted by clinicians and patients. Our competitors compete with us on the basis of efficacy and safety, regulatory approvals, price and availability of reimbursement from third-party payers, ease of use/administration of the treatment option, reputation, and market trends. Key competitive factors affecting the commercial success Deep TMS System are likely to be efficacy, safety and tolerability, reliability, convenience and time frame of administration, market acceptance of our products relative to alternative treatments, and reimbursement.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Competitors that sell other forms of TMS therapy for MDD include Neuronetics, Magventure, Magstim, MAG &amp; More, Cloud TMS, and Nexstim, that compete directly with us. Their systems are based on Traditional TMS coils and are generally FDA-cleared for MDD only, although Magventure has a non-clinical trials based FDA clearance for OCD, and there is one other company (eNeura) that is marketing a device that is FDA-cleared for treating pain associated with migraine headaches using single-pulse TMS. By contrast, our unique Deep TMS H-Coils are designed to address a number of different brain disorders. Other than Magventure, none of our competitors in the MDD market is currently FDA-cleared for an OCD indication, and we are the only company currently with marketing authorizations for MDD, OCD, and the treatment of smoking addiction.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93" w:lineRule="auto"/>
        <w:rPr>
          <w:sz w:val="20"/>
          <w:szCs w:val="20"/>
          <w:color w:val="auto"/>
        </w:rPr>
      </w:pPr>
      <w:r>
        <w:rPr>
          <w:rFonts w:ascii="Arial" w:cs="Arial" w:eastAsia="Arial" w:hAnsi="Arial"/>
          <w:sz w:val="16"/>
          <w:szCs w:val="16"/>
          <w:color w:val="auto"/>
        </w:rPr>
        <w:t>We also face competition from pharmaceutical and other companies that develop competitive products, such as anti-depressant medications (including but not limited to a nasal spray utilizing the drug esketamine which was recently approved by the FDA for use in conjunction with an oral antidepressant), with certain competitive advantages such as widespread market acceptance, ease of patient use and well-established reimbursement. In addition, we may face competition from ketamine, which is used as an anesthetic to treat a variety of brain disorders. Our commercial opportunity could be reduced or eliminated if these competitors develop and commercialize anti-depressant medications or other treatments that are safer or more effective than Deep TMS. At any time, these and other potential market entrants may develop treatment alternatives that may render our products uncompetitive or less competitive.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competition from invasive neuromodulation therapies such as ECT, VNS, and DBS. Major players in this space include Medtronic, St. Jude’s Medical, LivaNova, and Boston Scientific Corporation. For example, the VNS system developed by Cyberonics (now LivaNova) is FDA-approved for MDD.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face competition in the future from other noninvasive treatments for MDD. Examples of noninvasive treatment options in early development include low-intensity and low-frequency ultrasound (LIFU), transcranial laser therapy, and infrared therapy. We cannot predict whether any of these or any other treatment options will succeed in clinical trials or be commercially marketable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“Item 5. Operating and Financial Review and Prospects – </w:t>
      </w:r>
      <w:r>
        <w:rPr>
          <w:rFonts w:ascii="Arial" w:cs="Arial" w:eastAsia="Arial" w:hAnsi="Arial"/>
          <w:sz w:val="18"/>
          <w:szCs w:val="18"/>
          <w:i w:val="1"/>
          <w:iCs w:val="1"/>
          <w:color w:val="auto"/>
        </w:rPr>
        <w:t>C. Research and Development, Patents and Licenses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have received grants from the IIA in an aggregate amount of approximately $12.8 million. We are currently required to pay 3% royalties of sales of our Deep TMS products, which payment obligations do not currently exceed the amount of the grant received (in U.S. dollars), plus interest at an annual rate equal to the LIBOR rate. As of December 31, 2020, we have paid royalties to the IIA in an aggregate amount of approximately $2.6 million (including amounts in respect of accrued interest), with remaining outstanding royalties of up to $12.5 million.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received from MAGNET approvals for grants in an aggregate amount of NIS 8.2 million (approximately $2.5 million based on the NIS to USD exchange rate as of December 31, 2020). There is no requirement to repay the grants or pay royalties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all aspects of product supply through our Jerusalem-based operations team. We manufacture our proprietary H-Coils and outsource the manufacture of certain components, including the stimulator, the computer controlling the stimulator, cooling system, the helmet, and the arm of the helmet, which are produced and tested to our specifications. We assemble Deep TMS systems at our headquarters in Jerusalem and at our US warehouses. In some cases, we rely on third-party providers to provide components used in existing products and we expect to continue to do so for future products. Our production activities also include manually assembling certain components of our devices for all required clinical and commercial quantities, and the integration of all components into a functioning Deep TMS system.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 Magstim (UK) has historically supplied us with stimulators, and it is anticipated that they will continue to be used a source for older generation systems which do not include our newer FDA-cleared stimulator.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jc w:val="both"/>
        <w:spacing w:after="0" w:line="301" w:lineRule="auto"/>
        <w:rPr>
          <w:sz w:val="20"/>
          <w:szCs w:val="20"/>
          <w:color w:val="auto"/>
        </w:rPr>
      </w:pPr>
      <w:r>
        <w:rPr>
          <w:rFonts w:ascii="Arial" w:cs="Arial" w:eastAsia="Arial" w:hAnsi="Arial"/>
          <w:sz w:val="16"/>
          <w:szCs w:val="16"/>
          <w:color w:val="auto"/>
        </w:rPr>
        <w:t>In order to mitigate against the risks related to a single-source of supply, we qualify alternative suppliers when possible, maximize the use of commercial, off the shelf components and materials, minimize specialized or proprietary manufacturing processes, and develop contingency plans for responding to disruptions, including maintaining adequate inventory of any critical components. To date, we have not experienced material delays in obtaining any of our components, nor has the ready supply of finished products to our customers or clinicians been adversely affected by component supply issues.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extensive governmental regulation in connection with the manufacture of our devices. We must ensure that all of the processes, methods, and equipment are compliant with the current Quality System Regulations (QSR) for devices on an ongoing basis, mandated by the FDA and other regulatory authorities, and must conduct extensive audits of vendors, contract laboratories and suppliers. We comply with such regulatory requirements. Certain of our foreign marketing authorizations requires compliance of said manufacturing process with the ISO 13485 standard, with which we are compliant.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that over 90% of the total private insurer adult covered lives in the United States have coverage for reimbursement of MDD treatment with Deep TMS, available after one to four failed (inadequate response or intolerable) trials of anti-depressant medications. In addition, our MDD treatment with Deep TMS is eligible for reimbursement from Medicare, and is expected to be available after one to four failed trials of psychopharmacologic agents (such as anti-depressant medications) and subject to the satisfaction of other clinical criteria. Typically, payors (including Medicare) will provide reimbursement for up to 36 treatment sessions of Deep TMS for MDD, although the maximum number of covered sessions varies by insurer and/or location. Deep TMS for OCD is not currently eligible for reimbursement. However, there is currently an out-of-pocket market for our Deep TMS systems for OCD, and we are working to broaden the scope of reimbursement coverage for Deep TMS to include OCD treatment, based on a demonstration of the reasonableness and necessity of the treatment through clinical data. Deep TMS for smoking addiction is not currently eligible for reimbursement. We plan to seek to obtain coverage as we progress in our commercialization for this indication.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sales or lease of a medical device utilized for in-office medical treatments depend, in part, on the extent to which such treatments using that device will be covered by third-party payers, such as government health care programs (e.g., Medicare), private insurance, and managed healthcare organizations. Even if a third-party payer covers a particular treatment, the resulting reimbursement payment rates may not be adequate to cover a provider’s cost to purchase such medical device or ensure that purchase or lease will be profitable for the provider. Additionally, patients who are treated in-office for a medical condition generally rely on third-party payers to reimburse all or part of the costs associated with the treatment and may be unwilling to undergo such treatment in the absence of coverage and adequate reimbursement.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Reimbursement by a third-party payer may depend upon a number of factors, including the third-party payer’s determination that a treatment is: neither experimental nor investigational; safe, effective, and medically necessary; appropriate for the specific patient; cost-effective; supported by peer reviewed medical journals; and included in clinical practice guidelines.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Physician reimbursement under Medicare generally is based on a defined fee schedule, or the Physician Fee Schedule, through which payment amounts are determined by the relative values of the service rendered in a physician office setting or by a physician in a facility setting. Medicare coverage for TMS also has specific patient history requirements. Medicare coverage for Deep TMS generally requires one to four failed (inadequate response or intolerable) trials of psychopharmacologic agents (such as anti-depressant medications).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there is no uniform policy of coverage and reimbursement among private third-party payers. Reimbursement rates from private payers vary depending on the procedure performed, the commercial payer, contract terms, and other factors. Private third-party payers often rely upon Medicare coverage policy and payment limitations in setting their own reimbursement policies, but also have their own methods and approval process apart from Medicare coverage and reimbursement determinations. Private insurance coverage for Deep TMS generally requires three to four failures of anti-depressant medications.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Coverage and reimbursement for treatments can differ significantly from payer to payer. Decisions regarding the extent of coverage and amount of reimbursement to be provided for an in-office treatment are made on a plan-by-plan basis. One payer’s determination to provide coverage for a specific treatment does not assure that other payers will also provide coverage and adequate reimbursement.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spacing w:after="0" w:line="279" w:lineRule="auto"/>
        <w:rPr>
          <w:sz w:val="20"/>
          <w:szCs w:val="20"/>
          <w:color w:val="auto"/>
        </w:rPr>
      </w:pPr>
      <w:r>
        <w:rPr>
          <w:rFonts w:ascii="Arial" w:cs="Arial" w:eastAsia="Arial" w:hAnsi="Arial"/>
          <w:sz w:val="17"/>
          <w:szCs w:val="17"/>
          <w:color w:val="auto"/>
        </w:rPr>
        <w:t>In addition, the U.S. federal government and state legislatures have continued to implement cost containment programs, including price controls and restrictions on coverage and reimbursement. Governmental and private insurers are increasingly challenging the price, examining the medical necessity, and reviewing the cost-efficacy of medical services. Adoption of price controls and cost containment measures by any such payers, and adoption of more restrictive policies in jurisdictions with existing controls and measures, could limit our market opportunity and reduce our revenues.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Private insurers currently cover only treatments using our Deep TMS system for MDD, and do not currently cover our Deep TMS therapy for OCD, smoking addiction, or therapies currently under development for other indications. We are actively working to broaden the scope of reimbursement coverage for Deep TMS therapy to include OCD based on the novelty of the technology, unmet clinical need and the demonstrated efficacy and safety profile of the treatment. We believe that our recent FDA marketing authorizations of Deep TMS for OCD and smoking addiction will help us to obtain reimbursement for those indications. We are actively engaged in efforts to obtain coverage for Deep TMS for OCD treatment based on the novelty of the technology, unmet clinical need and the efficacy and safety profile of the treatment, and plan to seek reimbursement for smoking addiction as our commercialization efforts for that indication progress. However, we can provide no assurance that we can obtain reimbursement coverage for either of those indications, and even if obtained, we can provide no assurance that the coverage will be at the same levels as we have for MDD.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also working to include Deep TMS in additional insurance coverages in the United States and in other jurisdictions in which we operate. In regions where we have appointed a local distributor, usually it is an obligation of the distributor under the distribution agreement to obtain reimbursement coverage for Deep TMS in the relevant territory on our behalf. For example, through our Japanese distributor, we recently obtained regulatory approval with the PMDA in Japan, which is a precondition to receiving reimbursement coverage under the Japanese National Health Insurance Plan. We are working through our Japanese distributor with the relevant bodies in Japan to update the local society guidelines to include Deep TMS in order to obtain such coverage.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foreign jurisdictions. Our products are subject to regulation as medical devices under the U.S. Federal Food, Drug and Cosmetic Act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FDA clearance of a 510(k) premarket notification or premarket approval, or PMA. Under the FDCA, medical devices are classified into one of three classes—Class I, Class II or Class III— 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 xml:space="preserve">Our Deep TMS system is classified as a Class II medical device. For MDD, we obtained FDA marketing authorization through the 510(k) clearance process. For OCD, we obtained FDA marketing authorization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Subsequent changes made to our Deep TMS system will be made through one or more of the various existing FDA review pathways.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Marketing Clearance Pathway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nine to 12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which is a route to market for novel medical devices that are low to moderate risk and are not substantially equivalent to a predicate device.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extensive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to a predicate device.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We obtained marketing authorization for the OCD indication for our system using the direct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classification process. We have used the 510(k) clearance process to obtain authorization from the FDA for changes to our marketed Deep TMS system, including our proprietary stimulator.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 clinical trial is typically required to support a PMA application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Marketed Devices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After a device receives 510(k) marketing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or PMA. The FDA requires each manufacturer to determine whether the proposed change requires submission of a 510(k) or a PMA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is obtained. Also, in these circumstances, the manufacturer may be subject to significant regulatory fines or penalties.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Post-market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extensive regulatory requirements continue to apply. These include:</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manufacturing, and distribution process;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guidance on off-label dissemination of information and responding to unsolicited requests for information;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efficacy or that would constitute a major change in intended use of one of our cleared devices;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70" w:lineRule="exact"/>
        <w:rPr>
          <w:sz w:val="20"/>
          <w:szCs w:val="20"/>
          <w:color w:val="auto"/>
        </w:rPr>
      </w:pPr>
    </w:p>
    <w:p>
      <w:pPr>
        <w:ind w:left="5540" w:right="4380" w:hanging="5208"/>
        <w:spacing w:after="0" w:line="77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Healthcare providers, physicians, and third-party payers play a primary role in the recommendation, prescription, and payment for medical treatments. A medical device manufacturer’s arrangements with third-party payers,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payers, federal, and state healthcare laws and regulations are applicable to its business. In addition, portions of our business may be subject to the Health Insurance Portability and Accountability Act of 1996 (HIPAA). To the extent we provide any covered entity customers with services that involve the use or disclosure of protected health information (PHI) we may be required to enter into business associate agreements. Business associates are also directly liable for compliance with HIPAA. The laws that may affect a medical device manufacturer’s ability to operate include, but are not limited to:</w:t>
      </w:r>
    </w:p>
    <w:p>
      <w:pPr>
        <w:spacing w:after="0" w:line="165" w:lineRule="exact"/>
        <w:rPr>
          <w:sz w:val="20"/>
          <w:szCs w:val="20"/>
          <w:color w:val="auto"/>
        </w:rPr>
      </w:pPr>
    </w:p>
    <w:p>
      <w:pPr>
        <w:jc w:val="both"/>
        <w:ind w:left="660" w:hanging="328"/>
        <w:spacing w:after="0" w:line="28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federal healthcare Anti-Kickback Statute, which prohibits, among other things, persons and entities from knowingly and willfully soliciting, receiving, offering or providing remuneration (broadly interpreted to include anything of value), directly or indirectly, overtly or covertly, in cash or in kind, to induce or reward either the referral of an individual for, or the purchase, lease, order, or arrange for or recommend a good or service for which payment may be made, in whole or in part, under a federal healthcare program, such as Medicare and Medicaid.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73" w:lineRule="exact"/>
        <w:rPr>
          <w:rFonts w:ascii="Arial" w:cs="Arial" w:eastAsia="Arial" w:hAnsi="Arial"/>
          <w:sz w:val="16"/>
          <w:szCs w:val="16"/>
          <w:color w:val="auto"/>
        </w:rPr>
      </w:pPr>
    </w:p>
    <w:p>
      <w:pPr>
        <w:jc w:val="both"/>
        <w:ind w:left="660" w:hanging="328"/>
        <w:spacing w:after="0" w:line="26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federal civil False Claims Act (FCA),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FCA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$11,181 to $22,363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 care programs for the product. In addition, a claim including items or services resulting from a violation of the federal healthcare Anti-Kickback Statute constitutes a false or fraudulent claim for purposes of the FCA. In addition, manufacturers can be held liable under the FCA even when they do not submit claims directly to government payers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ind w:left="660" w:hanging="328"/>
        <w:spacing w:after="0" w:line="272"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HIPAA, which prohibits and imposes criminal liability for, among other things,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393"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implementing regulations, which imposes privacy, security, transmission, and breach reporting obligations with respect to individually identifiable health information upon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PPACA, which requires certain manufacturers of drugs, devices, biologics and medical supplies reimbursed under Medicare, Medicaid, or the Children’s Health Insurance Program (with certain exceptions) to report annually to the United States Department of Health and Human Services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anti-kickback and false claims laws, that may impose similar or more prohibitive restrictions, and may apply to items or services reimbursed by any non-governmental third-party payers,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on some issues.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7"/>
          <w:szCs w:val="17"/>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Healthcare Reform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192"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efficacy research in an effort to coordinate and develop such research;</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Some of the provisions of the PPACA have yet to be implemented, and there have been judicial and Congressional challenges to modify, limit, or repeal certain aspects of the PPACA since its enactment and have continued to evolve. Since taking office, President Trump has continued to support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Substantial uncertainty remains as to the future of the PPACA after the U.S. Supreme Court declined to expedite its review of the Fifth Circuit’s holding on January 21, 2020. We cannot predict the healthcare-reform-related initiatives that the newly elected Biden administration will put forth. There is no way to know whether, and to what extent, if any, the PPACA will remain in-effect in the future, and it is unclear how judicial decisions, subsequent appeals, or other efforts to repeal and replace or, possibly, to restore the PPACA will impact the U.S. healthcare industry or our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8"/>
          <w:szCs w:val="18"/>
          <w:color w:val="auto"/>
        </w:rPr>
        <w:t>We cannot predict the impact that such actions against the PPACA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the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received European Conformity (CE) marking in the European Economic Area (EEA) and in Israel for MDD, OCD, and smoking addiction, and 11 other indications in psychiatry, addiction treatment, and neurology. Sales and marketing of medical devices outside of the United States are subject to foreign regulatory requirements that vary widely from country to country. The time required to obtain appropriate marketing authorizations from other foreign authorities may be longer or shorter than that required for FDA approval. Whether or not we have obtained FDA approval, our Deep TMS systems may be subject to different regulatory requirements in other jurisdictions. The foreign regulatory approval process includes all the risks associated with FDA regulation, as well as country-specific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include professionals with extensive experience in medical device development and applications, neurology and psychopathology, pre-clinical experimentation, clinical development, and business development. As of December 31, 2020, we had 100 employees, of which 42 are based in the United States and 58 are based outside of the United States (in Israel). This includes 26 employees in sales and marketing (including 24 in the United States) and 26 employees in clinical trials and research and development.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never experienced an employment-related work stoppage and we believe our relationship with our employees is good.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environmental, health and safety laws and regulations, including those governing noise emissions.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Significant expenditures could be required in the future, however, if we are required to comply with new or more stringent environmental or health and safety laws, regulations or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three subsidiaries, all of which wholly-owned are: BrainsWay, Inc., incorporated in Delaware on March 31, 2003, Brain Research and Development Services Ltd., incorporated in Israel on August 13, 2003, and BrainsWay USA Inc., incorporated in Delaware on November 24, 2014.</w:t>
      </w:r>
    </w:p>
    <w:p>
      <w:pPr>
        <w:spacing w:after="0" w:line="14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the United States and Israel.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Israel, we have leased offices in Jerusalem, Israel, Since November 2007, pursuant to a lease agreement that expires in September 2022. The facility contains approximately 1,505 square meters of space, and lease payments and management fees are approximately $30,000 plus value added tax, or VAT, per month, in the aggregate, and are paid in NIS. This facility houses various administrative functions, as well as research operations and our central laboratory. Substantially all of our Israeli-based employees are based in this facility We also lease a warehouse and storage area within the same building as our Jerusalem offices pursuant to a lease addendum subject to a term (also expiring in September 2022) comprised of approximately 280 square meters, and subject to monthly fees in the amount of approximately $2,500 plus VAT in the aggregate, paid in NIS.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our corporate offices have been located in New Jersey since April 2016. We currently have offices in Cresskill, N.J and Boston, MA. serving as the base for many of our growing U.S. based sales, marketing and logistics workforce. Our Cresskill, NJ offices occupy a space comprised of approximately 2,326 square feet pursuant to a lease with a current term expiring (unless extended) on June 30, 2021, and our Boston offices are located at a shared office space in the Burlington section of the Greater Boston Area.</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thereto included elsewhere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those in “Item 3. Key Information – D.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commercial stage medical device company focused on the development and sale of noninvasive neuromodulation products using our proprietary Deep Transcranial Magnetic Stimulation (Deep TMS), technology for the treatment of major depressive disorder (MDD), obsessive-compulsive disorder (OCD), and smoking addiction, for which we have received marketing authorization from the U.S. Food and Drug Administration (FDA). Deep TMS uses magnetic pulses to stimulate neurons and consequently modulates the physiological activity of the brain.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commercial Deep TMS product received clearance from the FDA in 2013 for the treatment of MDD in adult patients who have failed to achieve satisfactory improvement from anti-depressant medication in the current episode. Our Deep TMS system for MDD is currently marketed to and installed at psychiatrists’ offices and other facilities principally in the United States and in certain other countries throughout the world. In addition, our second Deep TMS system received FDA marketing authorization in August 2018 as an adjunct therapy for adult patients suffering from OCD, and we are currently market and sell that indication. In addition, our third Deep TMS system received FDA marketing authorization in August 2020 as a short-term therapy for smoking addiction. Our sales and marketing efforts are currently focused in the United States, where we generated approximately 88% of our revenues in the year ended December 31, 2020.</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We believe that Deep TMS represents a platform technology that provides for an opportunity to develop additional Deep TMS products for a variety of psychiatric, neurological, and addiction disorders. We are also planning multicenter trials for other indications, including fatigue in multiple sclerosis (MS), which would be the first neurological indication that we plan to advance into multicenter trials, and possibly other addictions such as opioids use disorder, cocaine addiction, and/or alcohol use disorder.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A standard MDD, OCD, or smoking addiction session lasts 20, 19, and 18 minutes, respectively. Patients may experience some discomfort during treatment and must use earplugs to reduce exposure to the loud sounds produced by the device. The treatment requires no anesthesia, hospitalization or sedation and no systemic side effects have been reported.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we sell or lease Deep TMS systems by one of the following methods: (i) a fixed-fee lease model in which the Deep TMS system is leased to a customer for a fixed annual fee, generally with a term of up to 54 months, for unlimited use; (ii) a risk share model (variable fees) in which the Deep TMS system is leased to a customer which pays fees based on the number of treatments (i.e., usage based fees), often beyond a contractually defined minimum amount; and (iii) a sales model in which the Deep TMS system is sold to the customer for a fixed purchase price, with additional potential revenue from annual warranty paid for the system for each year subsequent to the expiration of the standard warranty for the first year. These three models are designed to facilitate market penetration by addressing the differing clinical needs and risk tolerance among our customer base. As of December 31, 2020, approximately 47% of our Deep TMS systems installed base for MDD utilized the fixed-fee lease model, approximately 43% utilized the sales model and approximately 10% utilized our risk share model. We commercialize Deep TMS for OCD based generally on either the risk share model, which charges per session and per treatment, or as part of a fixed-fee lease model together with our MDD system, in an effort to achieve greater market acceptance for that indication. We are in the process of launching a controlled release of Deep TMS for smoking addiction and plan to focus on fixed-fee and sales business models for this indication.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had an installed base of approximately 629 Deep TMS systems, whereby 359 systems were leased from us (inclusive of our fixed fee model and our risk share model), and an additional 270 systems were sold by us prior to December 31, 2020. Our installed base increased by 36 systems during the fourth quarter of 2020. In addition, as of December 31, 2020, we had shipped 216 OCD coils as additional coils attached to certain of our new and existing systems following our receipt in August 2018 of marketing approval from the FDA for our OCD system.</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2020, our revenues were $22.1 million compared to $23.1 million for the year ended December 31, 2019, representing a decrease of 4.5% over the revenues generated in 2019. We incurred net losses of $5.4 million for the year ended December 31, 2020.</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our total committed payments under signed lease contracts was approximately $25.6 million, assuming no exercise of any early termination options, representing an increase of $3.8 million from our total committed payments as of December 31, 2019 of approximately $21.8 million.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an accumulated deficit of $77.3 million. Our primary sources of capital to date have been from public offerings in Israel and in the United States, and private placements of our securities, grants from the Israel Innovation Authority (IIA), borrowings under our credit facilities, and the lease and sale of our products.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research, development, and clinical trials expenses to increase in connection with our ongoing activities, particularly as we continue to pursue future FDA clearance for our planned clinical trials for fatigue in MS, various addictions (for example, opioid addiction and/or alcohol addiction) and potentially additional indications in neurology. In addition, we expect to incur significant commercialization expenses for product sales, marketing, manufacturing, and distribution. On February 25, 2021 we closed a follow-on underwritten public offering of ADSs with gross proceeds of approximately $45.2 million before deducting underwriting discount and commissions and offering expenses. We believe that our existing cash resources will be sufficient to enable us to fund our operating expenses and capital expenditure requirements for at least the next 24 months. However, we may need additional funding to support the continuation of our operating activities.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revenues from the lease and sale of our Deep TMS systems. For Deep TMS for MDD, we offer three different pricing models: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Fixed-fee Lease Model: </w:t>
      </w:r>
      <w:r>
        <w:rPr>
          <w:rFonts w:ascii="Arial" w:cs="Arial" w:eastAsia="Arial" w:hAnsi="Arial"/>
          <w:sz w:val="18"/>
          <w:szCs w:val="18"/>
          <w:color w:val="auto"/>
        </w:rPr>
        <w:t>The customer leases the Deep TMS system and pays a fixed annual fee (which in some cases increases annually)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number of treatments for the term of the lease (generally up to 54 months). The pricing of the annual fee generally assumes three (3) to four (4) treatments per day.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Risk Share Model: </w:t>
      </w:r>
      <w:r>
        <w:rPr>
          <w:rFonts w:ascii="Arial" w:cs="Arial" w:eastAsia="Arial" w:hAnsi="Arial"/>
          <w:sz w:val="18"/>
          <w:szCs w:val="18"/>
          <w:color w:val="auto"/>
        </w:rPr>
        <w:t>The customer leases the Deep TMS system and the customer pays a variable fee based on the higher of: fees per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(i.e., usage based fees) or any defined contractual minimum fee. As in the fixed-fee lease model, these leases generally have a term of up to 54 months.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Sales Model: </w:t>
      </w:r>
      <w:r>
        <w:rPr>
          <w:rFonts w:ascii="Arial" w:cs="Arial" w:eastAsia="Arial" w:hAnsi="Arial"/>
          <w:sz w:val="18"/>
          <w:szCs w:val="18"/>
          <w:color w:val="auto"/>
        </w:rPr>
        <w:t>The Deep TMS system is sold to the customer for a fixed purchase price. We also offer annual service warranty for the system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provided after the expiration of the standard warranty for additional fees.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from the operating leases of our Deep TMS systems are recognized on a straight-line method over the term of the lease. Usage based fees are recognized as revenue when we are entitled to receive such revenue. Our revenues from sales are recognized when control of the system is transferred to the customer, generally upon delivery of the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include a significant component of depreciation of the Deep TMS systems, due to the fact that we maintain ownership of our systems under our fixed-fee lease and risk share model, in which we lease the system for use by our customers, rather than sell it outright. We expect to continue to own our Deep TMS systems under our fixed-fee lease and risk share model for the foreseeable future, which allows us to maintain our relatively low cost of revenues.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case of the Deep TMS systems that we sell under our sales model, the entire cost of the Deep TMS system is recognized upon such sale. The cost of revenues for systems that we sell primarily consists of the costs of raw materials, including components purchased from our third-party contract manufacturers and manufacturing and assembly of the components that we perform ourselves. While we have previously used a third-party stimulator for our Deep TMS systems, we developed and have received FDA clearance for our own proprietary stimulator for MDD (in May 2018),OCD (in March 2019), and smoking addiction (in April 2021). Consequently, we believe that our cost of revenues with respect to system components will decrease.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revenues for systems that we lease or sell also include costs related to personnel, royalties to PHS and Yeda, shipping, and our operations department. We expect our cost of revenues to increase in absolute dollars to the extent our revenues increase.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expenses consist of marketing and commercial activities related to the sale and lease of our Deep TMS systems, as well as personnel expenses, including salaries and related benefits, sales commissions, share-based compensation for employees, and facility costs. Other significant sales and marketing costs include conferences, trade shows, and promotional and marketing activities, including direct and online marketing, practice support programs, media campaigns and travel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right="20"/>
        <w:spacing w:after="0" w:line="263" w:lineRule="auto"/>
        <w:rPr>
          <w:sz w:val="20"/>
          <w:szCs w:val="20"/>
          <w:color w:val="auto"/>
        </w:rPr>
      </w:pPr>
      <w:r>
        <w:rPr>
          <w:rFonts w:ascii="Arial" w:cs="Arial" w:eastAsia="Arial" w:hAnsi="Arial"/>
          <w:sz w:val="18"/>
          <w:szCs w:val="18"/>
          <w:color w:val="auto"/>
        </w:rPr>
        <w:t>We anticipate an increase in the headcount of our commercial organization as we continue to expand our business in the United States and internationally, and as we receive the relevant regulatory clearances for additional indications for our system. As a result, we expect our sales and marketing expenses to continue to increase.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net, consist primarily of personnel expenses, including salaries and related benefits, share-based compensation for employees, facility costs, laboratory materials, regulatory costs, patents, and travel expenses, as well as expenses associated with outsourced professional scientific development services, and the costs of multi-center and other clinical trials.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continue to incur research and development expenses for the near future as we advance the development of our Deep TMS technology for the treatment of new indications, which may include fatigue in MS, and other potential psychiatric, neurological, and addiction indications, as well as for various hardware and software development projects related to the Deep TMS system. As a result, we expect our research and development expenses to continue to increase.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portion of our investment in research and development is funded by participation of the IIA through grants which are presented net of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professional services, including legal and accounting fees as well as administrative costs, including corporate facility costs.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due to planned expansion of our activities. We anticipate higher corporate infrastructure costs including, but not limited to, accounting, legal, human resources, consulting, investor relations, listing fees on The Nasdaq Global Market, costs associated with reporting and compliance in the United States, as well as increased director and officer insurance premiums, as a result of becoming a public company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finance expenses, net, consist primarily of expenses related to bank charges, and the amortization of deferred financing costs related to our finance expense with respect to the fair value re-measurement related to our outstanding liability to the IIA on account of grants received for financing our research and development activity, as well as interest income earned on our bank deposits and foreign currency exchange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income taxes expense is derived primarily from income generated from the sales and lease of our Deep TMS systems from our U.S. subsidiary. During the years ended December 31, 2020 and 2019, we did not record an income tax benefit related to our current and carryforward losses for tax purposes as a valuation allowance was established for all deferred tax assets as utilization is not probable due to our cumulative net loss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IFRS, requires companies to make estimates and assumptions that affect the reported amounts of assets, liabilities, revenues and expenses, and disclosure of contingent assets and liabilities at and as of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financial statements included elsewhere in this report. Critical accounting estimates and judgments are continually evaluated and are based on historical experience and other factors, including expectations of future events that are believed to be reasonable under the circumstances, and are particularly important to the portrayal of our financial position and results of operations. Our estimates are primarily guided by observing the following critical accounting policies: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revenues from the sale and lease of our systems. We sell products mainly to end users and to a lesser extent, to third-party distributors outside of the United States and do not provide return rights. We typically have post-sale obligations of training and installation of our systems and may provide an annual service warranty for the Deep TMS system after the expiration of the standard warranty. Revenues for such services are deemed distinct performance obligations and are recognized when the services are performed. Revenue recognized from these services has been insignificant for the reported periods.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sale of systems are recognized at the point in time when control of the system is transferred to the customer, generally upon delivery of the system to the customer.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lease revenue from (i) a fixed-fee lease model in which the Deep TMS system is leased to a customer for a fixed annual fee, generally for a term of up to 54 months, allowing for unlimited use; and (ii) a risk share model, or a variable fee, in which the Deep TMS system is leased to a customer who pays based on the number of treatments conducted on the system (i.e., usage based fees), often beyond a contractually defined minimum amount. Leases in which substantially all the risks and rewards incidental to ownership of the leased asset are not transferred to the lessee are classified as operating leases. Revenues from operating leases are recognized on a straight-line basis over the lease term. Usage based fees are recognized as revenue when the Company is entitled to receive such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based on expected credit losses on trade receivables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apply a simplified approach and measure the loss allowance in respect of our short -term financial assets, trade receivables, in an amount equal to the lifetime expected credit losses.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an allowance for doubtful accounts based on expected credit losses for trade receivables. The allowance rates are based on days past due for its various customers. The allowance is initially based on the Company’s historical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Bearing Governmental Grants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 grants are recognized when there is reasonable assurance that the grants will be received, and the Company will comply with all attached conditions. Government grants received from the IIA and repayable to the IIA through royalty-bearing sales are recognized upon receipt as a liability if future economic benefits are expected to be derived through estimated future cash flows from the research project, resulting in royalty bearing sales due to the IIA.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recorded as a reduction of the liability.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no economic benefits are expected from the research activity, the grant received are recognized as a reduction of the related research and development expenses. In that event, the royalty obligation is treated as a contingent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reporting date, the Company evaluates whether there is reasonable assurance that the liability recognized, in whole or in part, will not be repaid based on the best estimate of future sales and using the original effective interest method and, if so, the appropriate amount of the liability is derecognized against a corresponding reduction in research and development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Grants received from the IIA prior to January 1, 2009, which are recognized as a liability, are accounted for as forgivable loans in accordance with IAS 20, based on the original terms of the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compensation reflects the compensation expense of our stock option programs granted to employee and other service providers, in which the compensation expense is measured at the grant date fair value of the options. The grant date fair value of share-based compensation is recognized as an expense over the requisite service period, net of estimated forfeitures. We recognize compensation expense for awards conditioned only on continued service that have a graded vesting schedule using the accelerated method and classify these amounts in our statement of comprehensive loss based on the department to which the related employee/service provider reports.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Valuation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selected the Binomial Lattice option-pricing model as the most appropriate method for determining the estimated fair value of the shared-based compensation. For the purpose of the evaluation of the fair value, and the manner of the recognition of share-based compensation, our management is required to estimate, among others, various subjective parameters that are included in the calculation of the fair value of the option, as well as our results and the number of options that will vest. These parameters include the expected volatility of our share price over the expected term of the options, the risk-free interest rate assumption, forfeitures behaviors and expected dividends.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Fair value of ordinary shares. </w:t>
      </w:r>
      <w:r>
        <w:rPr>
          <w:rFonts w:ascii="Arial" w:cs="Arial" w:eastAsia="Arial" w:hAnsi="Arial"/>
          <w:sz w:val="16"/>
          <w:szCs w:val="16"/>
          <w:color w:val="auto"/>
        </w:rPr>
        <w:t>Since our ordinary shares have traded on the TASE since 2007, and our ADSs have traded on The Nasdaq Global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2019, we have a market price per share of our ordinary shares and ADSs. Until September 30, 2018, the exercise price for the options was determined based on the average price per share over the 30 trading days on TASE prior to the grant date. Subsequent to September 30, 2018, the exercise price for the options was determined based on the average price per share over the 90 trading days on TASE prior to the grant date plus a premium of 10%, and for options granted to U.S. residents, the exercise price for the options was determined based on the greater of (i) average price per share over the 90 trading days on TASE prior to the grant date plus a premium of 10% or (ii) the last closing price per share on TASE prior to the actual grant dates.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expected volatility of the price of our ordinary shares reflects the assumption that the historical volatility of the share prices on the TASE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indicative of expected future trends.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observed interest rates appropriate for the expected term of the options granted in dollar terms.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granted is derived from the output of the option valuation model and represents the period of time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be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We have never declared or paid any cash dividends and we do not plan to pay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recent accounting pronouncements are set forth in Note 2 to our audited consolidated financial statements beginning on page F-1 of this Annual Report.</w:t>
      </w:r>
    </w:p>
    <w:p>
      <w:pPr>
        <w:spacing w:after="0" w:line="166" w:lineRule="exact"/>
        <w:rPr>
          <w:sz w:val="20"/>
          <w:szCs w:val="20"/>
          <w:color w:val="auto"/>
        </w:rPr>
      </w:pPr>
    </w:p>
    <w:p>
      <w:pPr>
        <w:ind w:right="8760" w:firstLine="8"/>
        <w:spacing w:after="0" w:line="566" w:lineRule="auto"/>
        <w:tabs>
          <w:tab w:leader="none" w:pos="648"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 Quarterly Results of Operations</w:t>
      </w:r>
    </w:p>
    <w:p>
      <w:pPr>
        <w:jc w:val="both"/>
        <w:ind w:right="20"/>
        <w:spacing w:after="0" w:line="277" w:lineRule="auto"/>
        <w:rPr>
          <w:sz w:val="20"/>
          <w:szCs w:val="20"/>
          <w:color w:val="auto"/>
        </w:rPr>
      </w:pPr>
      <w:r>
        <w:rPr>
          <w:rFonts w:ascii="Arial" w:cs="Arial" w:eastAsia="Arial" w:hAnsi="Arial"/>
          <w:sz w:val="18"/>
          <w:szCs w:val="18"/>
          <w:color w:val="auto"/>
        </w:rPr>
        <w:t>The following tables show our unaudited quarterly statements of operations for the periods indicated. We have prepared this quarterly information on a basis consistent with our 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 30</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8"/>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 30</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 30</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42"/>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548"/>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508"/>
              <w:spacing w:after="0" w:line="142"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508"/>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98"/>
              </w:rPr>
              <w:t>U.S. dollars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4,157</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4,820</w:t>
            </w:r>
          </w:p>
        </w:tc>
        <w:tc>
          <w:tcPr>
            <w:tcW w:w="920" w:type="dxa"/>
            <w:vAlign w:val="bottom"/>
            <w:tcBorders>
              <w:top w:val="single" w:sz="8" w:color="auto"/>
            </w:tcBorders>
            <w:gridSpan w:val="3"/>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6,014</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27"/>
              <w:spacing w:after="0" w:line="142" w:lineRule="exact"/>
              <w:rPr>
                <w:sz w:val="20"/>
                <w:szCs w:val="20"/>
                <w:color w:val="auto"/>
              </w:rPr>
            </w:pPr>
            <w:r>
              <w:rPr>
                <w:rFonts w:ascii="Arial" w:cs="Arial" w:eastAsia="Arial" w:hAnsi="Arial"/>
                <w:sz w:val="14"/>
                <w:szCs w:val="14"/>
                <w:color w:val="auto"/>
              </w:rPr>
              <w:t>7,066</w:t>
            </w: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5,182</w:t>
            </w:r>
          </w:p>
        </w:tc>
        <w:tc>
          <w:tcPr>
            <w:tcW w:w="7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5,695</w:t>
            </w:r>
          </w:p>
        </w:tc>
        <w:tc>
          <w:tcPr>
            <w:tcW w:w="860" w:type="dxa"/>
            <w:vAlign w:val="bottom"/>
            <w:tcBorders>
              <w:top w:val="single" w:sz="8" w:color="auto"/>
            </w:tcBorders>
            <w:gridSpan w:val="3"/>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5,932</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6,292</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3,605</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3,726</w:t>
            </w:r>
          </w:p>
        </w:tc>
        <w:tc>
          <w:tcPr>
            <w:tcW w:w="880" w:type="dxa"/>
            <w:vAlign w:val="bottom"/>
            <w:tcBorders>
              <w:top w:val="single" w:sz="8" w:color="auto"/>
            </w:tcBorders>
            <w:gridSpan w:val="3"/>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4,294</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revenues</w:t>
            </w: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1,015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992</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1,485</w:t>
            </w:r>
          </w:p>
        </w:tc>
        <w:tc>
          <w:tcPr>
            <w:tcW w:w="120" w:type="dxa"/>
            <w:vAlign w:val="bottom"/>
          </w:tcPr>
          <w:p>
            <w:pPr>
              <w:spacing w:after="0"/>
              <w:rPr>
                <w:sz w:val="12"/>
                <w:szCs w:val="12"/>
                <w:color w:val="auto"/>
              </w:rPr>
            </w:pPr>
          </w:p>
        </w:tc>
        <w:tc>
          <w:tcPr>
            <w:tcW w:w="680" w:type="dxa"/>
            <w:vAlign w:val="bottom"/>
          </w:tcPr>
          <w:p>
            <w:pPr>
              <w:jc w:val="right"/>
              <w:ind w:right="27"/>
              <w:spacing w:after="0" w:line="149" w:lineRule="exact"/>
              <w:rPr>
                <w:sz w:val="20"/>
                <w:szCs w:val="20"/>
                <w:color w:val="auto"/>
              </w:rPr>
            </w:pPr>
            <w:r>
              <w:rPr>
                <w:rFonts w:ascii="Arial" w:cs="Arial" w:eastAsia="Arial" w:hAnsi="Arial"/>
                <w:sz w:val="14"/>
                <w:szCs w:val="14"/>
                <w:color w:val="auto"/>
              </w:rPr>
              <w:t>1,566</w:t>
            </w:r>
          </w:p>
        </w:tc>
        <w:tc>
          <w:tcPr>
            <w:tcW w:w="12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1,158</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1,376</w:t>
            </w:r>
          </w:p>
        </w:tc>
        <w:tc>
          <w:tcPr>
            <w:tcW w:w="86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1,153</w:t>
            </w:r>
          </w:p>
        </w:tc>
        <w:tc>
          <w:tcPr>
            <w:tcW w:w="10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1,442</w:t>
            </w: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697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8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925</w:t>
            </w:r>
          </w:p>
        </w:tc>
        <w:tc>
          <w:tcPr>
            <w:tcW w:w="10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62"/>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3,142</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4,529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4,319</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4,779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3,369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110"/>
        </w:trPr>
        <w:tc>
          <w:tcPr>
            <w:tcW w:w="1940" w:type="dxa"/>
            <w:vAlign w:val="bottom"/>
            <w:gridSpan w:val="2"/>
          </w:tcPr>
          <w:p>
            <w:pPr>
              <w:spacing w:after="0" w:line="110" w:lineRule="exact"/>
              <w:rPr>
                <w:sz w:val="20"/>
                <w:szCs w:val="20"/>
                <w:color w:val="auto"/>
              </w:rPr>
            </w:pPr>
            <w:r>
              <w:rPr>
                <w:rFonts w:ascii="Arial" w:cs="Arial" w:eastAsia="Arial" w:hAnsi="Arial"/>
                <w:sz w:val="12"/>
                <w:szCs w:val="12"/>
                <w:color w:val="auto"/>
              </w:rPr>
              <w:t>Research and development</w:t>
            </w: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spacing w:after="0"/>
              <w:rPr>
                <w:sz w:val="20"/>
                <w:szCs w:val="20"/>
                <w:color w:val="auto"/>
              </w:rPr>
            </w:pPr>
            <w:r>
              <w:rPr>
                <w:rFonts w:ascii="Arial" w:cs="Arial" w:eastAsia="Arial" w:hAnsi="Arial"/>
                <w:sz w:val="14"/>
                <w:szCs w:val="14"/>
                <w:color w:val="auto"/>
              </w:rPr>
              <w:t>expenses, net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1,041</w:t>
            </w:r>
          </w:p>
        </w:tc>
        <w:tc>
          <w:tcPr>
            <w:tcW w:w="920" w:type="dxa"/>
            <w:vAlign w:val="bottom"/>
            <w:gridSpan w:val="3"/>
          </w:tcPr>
          <w:p>
            <w:pPr>
              <w:jc w:val="right"/>
              <w:ind w:right="48"/>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1,576</w:t>
            </w:r>
          </w:p>
        </w:tc>
        <w:tc>
          <w:tcPr>
            <w:tcW w:w="12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1,792</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2,362</w:t>
            </w:r>
          </w:p>
        </w:tc>
        <w:tc>
          <w:tcPr>
            <w:tcW w:w="860" w:type="dxa"/>
            <w:vAlign w:val="bottom"/>
            <w:gridSpan w:val="3"/>
          </w:tcPr>
          <w:p>
            <w:pPr>
              <w:jc w:val="right"/>
              <w:ind w:right="48"/>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1,270</w:t>
            </w:r>
          </w:p>
        </w:tc>
        <w:tc>
          <w:tcPr>
            <w:tcW w:w="880" w:type="dxa"/>
            <w:vAlign w:val="bottom"/>
            <w:gridSpan w:val="3"/>
          </w:tcPr>
          <w:p>
            <w:pPr>
              <w:jc w:val="right"/>
              <w:ind w:right="4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130"/>
        </w:trPr>
        <w:tc>
          <w:tcPr>
            <w:tcW w:w="1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Selling and marketing</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3,713</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3,549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130"/>
        </w:trPr>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824</w:t>
            </w:r>
          </w:p>
        </w:tc>
        <w:tc>
          <w:tcPr>
            <w:tcW w:w="920" w:type="dxa"/>
            <w:vAlign w:val="bottom"/>
            <w:gridSpan w:val="3"/>
          </w:tcPr>
          <w:p>
            <w:pPr>
              <w:jc w:val="right"/>
              <w:ind w:right="48"/>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5"/>
                <w:szCs w:val="15"/>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1,003</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1,380</w:t>
            </w:r>
          </w:p>
        </w:tc>
        <w:tc>
          <w:tcPr>
            <w:tcW w:w="860" w:type="dxa"/>
            <w:vAlign w:val="bottom"/>
            <w:gridSpan w:val="3"/>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691</w:t>
            </w:r>
          </w:p>
        </w:tc>
        <w:tc>
          <w:tcPr>
            <w:tcW w:w="880" w:type="dxa"/>
            <w:vAlign w:val="bottom"/>
            <w:gridSpan w:val="3"/>
          </w:tcPr>
          <w:p>
            <w:pPr>
              <w:jc w:val="right"/>
              <w:ind w:right="48"/>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6,763</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4,043</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5,115</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27"/>
              <w:spacing w:after="0" w:line="142" w:lineRule="exact"/>
              <w:rPr>
                <w:sz w:val="20"/>
                <w:szCs w:val="20"/>
                <w:color w:val="auto"/>
              </w:rPr>
            </w:pPr>
            <w:r>
              <w:rPr>
                <w:rFonts w:ascii="Arial" w:cs="Arial" w:eastAsia="Arial" w:hAnsi="Arial"/>
                <w:sz w:val="14"/>
                <w:szCs w:val="14"/>
                <w:color w:val="auto"/>
              </w:rPr>
              <w:t>5,907</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5,633</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7,020</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6,954</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6,841</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4,325</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3,868</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4,310</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5,419</w:t>
            </w:r>
          </w:p>
        </w:tc>
        <w:tc>
          <w:tcPr>
            <w:tcW w:w="0" w:type="dxa"/>
            <w:vAlign w:val="bottom"/>
          </w:tcPr>
          <w:p>
            <w:pPr>
              <w:spacing w:after="0"/>
              <w:rPr>
                <w:sz w:val="1"/>
                <w:szCs w:val="1"/>
                <w:color w:val="auto"/>
              </w:rPr>
            </w:pPr>
          </w:p>
        </w:tc>
      </w:tr>
      <w:tr>
        <w:trPr>
          <w:trHeight w:val="142"/>
        </w:trPr>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rPr>
              <w:t>Total operating loss</w:t>
            </w: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3,621</w:t>
            </w: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586</w:t>
            </w:r>
          </w:p>
        </w:tc>
        <w:tc>
          <w:tcPr>
            <w:tcW w:w="120" w:type="dxa"/>
            <w:vAlign w:val="bottom"/>
          </w:tcPr>
          <w:p>
            <w:pPr>
              <w:spacing w:after="0"/>
              <w:rPr>
                <w:sz w:val="12"/>
                <w:szCs w:val="12"/>
                <w:color w:val="auto"/>
              </w:rPr>
            </w:pPr>
          </w:p>
        </w:tc>
        <w:tc>
          <w:tcPr>
            <w:tcW w:w="680" w:type="dxa"/>
            <w:vAlign w:val="bottom"/>
          </w:tcPr>
          <w:p>
            <w:pPr>
              <w:jc w:val="right"/>
              <w:ind w:right="27"/>
              <w:spacing w:after="0" w:line="142" w:lineRule="exact"/>
              <w:rPr>
                <w:sz w:val="20"/>
                <w:szCs w:val="20"/>
                <w:color w:val="auto"/>
              </w:rPr>
            </w:pPr>
            <w:r>
              <w:rPr>
                <w:rFonts w:ascii="Arial" w:cs="Arial" w:eastAsia="Arial" w:hAnsi="Arial"/>
                <w:sz w:val="14"/>
                <w:szCs w:val="14"/>
                <w:color w:val="auto"/>
              </w:rPr>
              <w:t>407</w:t>
            </w:r>
          </w:p>
        </w:tc>
        <w:tc>
          <w:tcPr>
            <w:tcW w:w="120" w:type="dxa"/>
            <w:vAlign w:val="bottom"/>
          </w:tcPr>
          <w:p>
            <w:pPr>
              <w:spacing w:after="0"/>
              <w:rPr>
                <w:sz w:val="12"/>
                <w:szCs w:val="12"/>
                <w:color w:val="auto"/>
              </w:rPr>
            </w:pPr>
          </w:p>
        </w:tc>
        <w:tc>
          <w:tcPr>
            <w:tcW w:w="620" w:type="dxa"/>
            <w:vAlign w:val="bottom"/>
          </w:tcPr>
          <w:p>
            <w:pPr>
              <w:jc w:val="right"/>
              <w:ind w:right="8"/>
              <w:spacing w:after="0" w:line="142" w:lineRule="exact"/>
              <w:rPr>
                <w:sz w:val="20"/>
                <w:szCs w:val="20"/>
                <w:color w:val="auto"/>
              </w:rPr>
            </w:pPr>
            <w:r>
              <w:rPr>
                <w:rFonts w:ascii="Arial" w:cs="Arial" w:eastAsia="Arial" w:hAnsi="Arial"/>
                <w:sz w:val="14"/>
                <w:szCs w:val="14"/>
                <w:color w:val="auto"/>
              </w:rPr>
              <w:t>1,609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2,701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2,175</w:t>
            </w:r>
          </w:p>
        </w:tc>
        <w:tc>
          <w:tcPr>
            <w:tcW w:w="100" w:type="dxa"/>
            <w:vAlign w:val="bottom"/>
          </w:tcPr>
          <w:p>
            <w:pPr>
              <w:spacing w:after="0"/>
              <w:rPr>
                <w:sz w:val="12"/>
                <w:szCs w:val="12"/>
                <w:color w:val="auto"/>
              </w:rPr>
            </w:pP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1,991</w:t>
            </w:r>
          </w:p>
        </w:tc>
        <w:tc>
          <w:tcPr>
            <w:tcW w:w="100" w:type="dxa"/>
            <w:vAlign w:val="bottom"/>
          </w:tcPr>
          <w:p>
            <w:pPr>
              <w:spacing w:after="0"/>
              <w:rPr>
                <w:sz w:val="12"/>
                <w:szCs w:val="12"/>
                <w:color w:val="auto"/>
              </w:rPr>
            </w:pPr>
          </w:p>
        </w:tc>
        <w:tc>
          <w:tcPr>
            <w:tcW w:w="6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1,417</w:t>
            </w: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1,004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941</w:t>
            </w:r>
          </w:p>
        </w:tc>
        <w:tc>
          <w:tcPr>
            <w:tcW w:w="100" w:type="dxa"/>
            <w:vAlign w:val="bottom"/>
          </w:tcPr>
          <w:p>
            <w:pPr>
              <w:spacing w:after="0"/>
              <w:rPr>
                <w:sz w:val="12"/>
                <w:szCs w:val="12"/>
                <w:color w:val="auto"/>
              </w:rPr>
            </w:pP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62"/>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expenses, net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2"/>
        </w:trPr>
        <w:tc>
          <w:tcPr>
            <w:tcW w:w="1940" w:type="dxa"/>
            <w:vAlign w:val="bottom"/>
            <w:gridSpan w:val="2"/>
          </w:tcPr>
          <w:p>
            <w:pPr>
              <w:spacing w:after="0" w:line="142" w:lineRule="exact"/>
              <w:rPr>
                <w:sz w:val="20"/>
                <w:szCs w:val="20"/>
                <w:color w:val="auto"/>
              </w:rPr>
            </w:pPr>
            <w:r>
              <w:rPr>
                <w:rFonts w:ascii="Arial" w:cs="Arial" w:eastAsia="Arial" w:hAnsi="Arial"/>
                <w:sz w:val="14"/>
                <w:szCs w:val="14"/>
                <w:color w:val="auto"/>
              </w:rPr>
              <w:t>Loss before income taxes</w:t>
            </w:r>
          </w:p>
        </w:tc>
        <w:tc>
          <w:tcPr>
            <w:tcW w:w="7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3,312</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394</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796</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color w:val="auto"/>
              </w:rPr>
              <w:t>646</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1,845</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3,373</w:t>
            </w: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2,519</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2,169</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1,002</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1,745</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1,449</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 (tax benefit)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240</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10"/>
        </w:trPr>
        <w:tc>
          <w:tcPr>
            <w:tcW w:w="1940" w:type="dxa"/>
            <w:vAlign w:val="bottom"/>
            <w:gridSpan w:val="2"/>
          </w:tcPr>
          <w:p>
            <w:pPr>
              <w:spacing w:after="0" w:line="110" w:lineRule="exact"/>
              <w:rPr>
                <w:sz w:val="20"/>
                <w:szCs w:val="20"/>
                <w:color w:val="auto"/>
              </w:rPr>
            </w:pPr>
            <w:r>
              <w:rPr>
                <w:rFonts w:ascii="Arial" w:cs="Arial" w:eastAsia="Arial" w:hAnsi="Arial"/>
                <w:sz w:val="12"/>
                <w:szCs w:val="12"/>
                <w:color w:val="auto"/>
              </w:rPr>
              <w:t>Net loss and comprehensive</w:t>
            </w: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spacing w:after="0"/>
              <w:rPr>
                <w:sz w:val="20"/>
                <w:szCs w:val="20"/>
                <w:color w:val="auto"/>
              </w:rPr>
            </w:pPr>
            <w:r>
              <w:rPr>
                <w:rFonts w:ascii="Arial" w:cs="Arial" w:eastAsia="Arial" w:hAnsi="Arial"/>
                <w:sz w:val="14"/>
                <w:szCs w:val="14"/>
                <w:color w:val="auto"/>
              </w:rPr>
              <w:t>loss</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3,442</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1,907</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quarterly revenues and operating results have varied in the past and are expected to vary in the future due to numerous factors. We believe that period-to-period comparisons of our operating results are not necessarily meaningful and should not be relied upon as indications of future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revenues decreased by $1 million, or 4.5%, from $23.1 million for the year ended December 31, 2019 to $22.1 million for the year ended December 31, 2020. The decrease in revenues was attributed mainly to the effect of COVID-19, despite our ongoing and steady strategic decision to shift our sales and marketing focus to the lease and risk share models, Revenues from leases (inclusive of our fixed-fee model and risk share model) were 62% of the revenues for the year ended December 31, 2020, compared to 57% of the revenues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cost of revenues was $5.1 million for each of the years ended December 31, 2019 and 2020. There has been no material change in our gross margin for the last three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expenses, net, were $5.8 million for the year ended December 31, 2020 compared to $7.9 million for the year ended December 31, 2019. The decrease of $2.1 million, or 26%, was mainly attributed to the Company’s efforts to enhance efficiency, given the financial impact of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and marketing expenses were $11.3 million for the year ended December 31, 2020 compared to $13.3 million for the year ended December 31, 2019. The decrease of $2 million, or 15%, is in-line with the Company’s efforts to enhance efficiency, as well as to lower operational expenses given the financial impact of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general and administrative expenses were $4.7 million for the year ended December 31, 2020 compared to $5.3 million for the year ended December 31, 2019. The decrease in response to the impact of COVID-19 on our business, we initiated a cash preservation program in late March 2020 with the goal of increasing efficiency and managing spend without impeding our growth efforts. This program largely continued throughout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finance expenses, net, were $0.3 million for the year ended December 31, 2020 compared to $1.4 million for the year ended December 31, 2019. The decrease of $1.1 million, or 78%, was mainly attributed to the exchange rate differences and the fair value re-measurement in 2019 related to our outstanding liability to the IIA on account of grants received for financing our research and development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comparison of fiscal year 2019 to fiscal year 2018 please see “Management’s Discussion and Analysis of Financial Condition and Results of Operations - Year ended December 31, 2019 compared to year ended December 31, 2018” section in our annual report on form 20-F filed with the SEC on March 23, 2020.</w:t>
      </w:r>
    </w:p>
    <w:p>
      <w:pPr>
        <w:spacing w:after="0" w:line="18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we had cash, cash equivalents and short-term deposits of $17.2 million and an accumulated deficit of $77.3 million, compared to cash and short-term deposits of $21.9 million, and an accumulated deficit of $71.9 million as of December 31, 2019. We incurred negative cash flows from operating activities of $7.2 million and $1.4 million for the years ended December 31, 2019 and 2020, respectively. We have incurred operating losses since our inception, and we anticipate that our operating losses will continue in the near term as we seek to expand our sales and marketing initiatives to support our growth in existing and new markets, and invest funds in additional research and development activities. Our primary sources of capital to date have been from public offerings in the U.S. and Israel and private placements of our securities, grants from the IIA, and leases and sales of our Deep TMS systems. From inception through December 31, 2020, we raised $84 million from placements of our ordinary shares and exercise of options.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our revenues and expenses to increase in connection with our ongoing activities, particularly as we expand the marketing of our Deep TMS system for MDD and OCD, commence the launch of our controlled market release of our Deep TMS system for smoking addiction, and for other indications for which we may receive regulatory authorizations in the future. Based on our current business plan, we believe that our cash and cash equivalents as of December 31, 2020 and the anticipated revenues from sales of our products will be sufficient to meet our anticipated cash requirements through at least the next 24 months. However, if these sources are insufficient to satisfy our liquidity requirements, we may seek to sell additional equity securities, seek to enter into a new credit facility, or seek financing from third party collaborators. If we raise additional funds by issuing equity securities, our shareholders would experience dilution. Additional debt financing, if available, may involve covenants restricting our operations or our ability to incur additional debt. We can provide no assurance that additional equity or debt financing will be available on terms favorable to us, or at all. If we raise additional funds through collaborations with third parties, we may be required to relinquish valuable rights to our technologies, future revenue streams, research programs or product candidates or to grant licenses on terms that may not be favorable to us. If we are unable to obtain adequate funds on reasonable terms, we will need to curtail operations significantly, including possibly postponing anticipated clinical trials or entering into financing agreements with unfavorable terms.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The table below summarizes our cash flow activities for the indicated periods: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24"/>
                <w:szCs w:val="24"/>
                <w:color w:val="auto"/>
              </w:rPr>
            </w:pP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w:t>
            </w:r>
          </w:p>
        </w:tc>
      </w:tr>
      <w:tr>
        <w:trPr>
          <w:trHeight w:val="24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22,474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rate differences on cash and cash equivalents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12,706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was $1.4 million during the year ended December 31, 2020, compared to $7.2 million used during the year ended December 31, 2019. The decrease of $5.8 million was mainly attributed to our efforts to enhance efficiency, as well as to lower operational expenses given the financial impact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was $2.5 million during each of the years ended December 31, 2020 and 2019. The increase of $0.1 million was mainly attributed to the increase in the purchase of equipment and system components offset by a decrease of withdrawal of long-term deposits.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by financing activities was $1.0 million during the year ended December 31, 2020 compared to $22.5 million provided by financing activities during the year ended December 31, 2019. The decrease was mainly attributed to the initial public offering on Nasdaq completed in April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2020, our wholly owned subsidiary, Brain Research and Development Services, Ltd., has received grants from the IIA in an aggregate amount of approximately $12.8 million. Brain Research and Development Services, Ltd. is currently required to pay 3% royalties of sales of our Deep TMS products, which payment obligations do not currently exceed the amount of the grant received (in U.S. dollars), plus interest at an annual rate equal to the LIBOR rate. As of December 31, 2020, Brain Research and Development Services, Ltd. has paid royalties to the IIA in an aggregate amount of approximately $2.6 million (including amounts in respect of accrued interest), with remaining outstanding royalties of up to $12.5 million.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grants received from the IIA are recognized upon receipt as a liability if future economic benefits are expected from the project that will result in royalty-bearing sales. The amount of the liability for the loan is first measured at fair value using a discount rate that reflects a market rate of interest that reflects, in turn, the appropriate degree of risks inherent in our business. If no economic benefits are expected from the research activity, the grant receipts are recognized as a reduction of the related research and development expenses. In that event, the royalty obligation is treated as a contingent liability in accordance with IAS 37, “Provisions, Contingent Liabilities, and Contingent Asset.”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18"/>
          <w:szCs w:val="18"/>
          <w:color w:val="auto"/>
        </w:rPr>
        <w:t>At the end of each reporting period, we evaluate whether there is a reasonable assurance that the received grants will not be repaid based on our best estimate of future sales and, if so, no liability is recognized, and the grants are recorded against a corresponding reduction in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grants received from the European Union are recorded against a corresponding reduction in research and development expenses.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in 2013, the MAGNET committee of the IIA (MAGNET) approved the activities of the consortium for the development plan of a brain stimulator and monitor tool, which we refer to as the Consortium, of which we are one of the participants. As part of the Consortium, Brain Research and Development Services, Ltd. received from MAGNET approvals for grants in an aggregate amount of NIS 8.2 million (approximately $2.5 million based on the NIS to USD exchange rate as of December 31, 2020). There is no requirement to repay the grants or pay royalties thereon. Such non-royalty-bearing grants from MAGNET program for funding approved research and development projects are recognized when there is reasonable assurance that the grants will be received and we will comply with all attached conditions, on the basis of the costs incurred, and are presented as a deduction from research and development expenses. In the event of failure of a project that was partly financed by the IIA, we would not be obligated to pay any royalties or repay the amounts received.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2020 the Company received $638,000 as a loan from the Paycheck Protection Program in the United States (the “Program”). The terms of the Program provide that a portion of the loan may be forgiven, to the extent that the amounts spent during the eight-week period on qualifying expenses (“Program Expenses”). The unforgiven part of the loan must be repaid within two years and bears interest at 1% per annum. The Company used the entire proceeds to pay Program Expenses and has since received approval for loan forgiveness of the entire amount.</w:t>
      </w:r>
    </w:p>
    <w:p>
      <w:pPr>
        <w:spacing w:after="0" w:line="167" w:lineRule="exact"/>
        <w:rPr>
          <w:sz w:val="20"/>
          <w:szCs w:val="20"/>
          <w:color w:val="auto"/>
        </w:rPr>
      </w:pPr>
    </w:p>
    <w:p>
      <w:pPr>
        <w:ind w:right="6760" w:firstLine="8"/>
        <w:spacing w:after="0" w:line="503" w:lineRule="auto"/>
        <w:tabs>
          <w:tab w:leader="none" w:pos="64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Intellectual Property</w:t>
      </w:r>
    </w:p>
    <w:p>
      <w:pPr>
        <w:spacing w:after="0"/>
        <w:rPr>
          <w:sz w:val="20"/>
          <w:szCs w:val="20"/>
          <w:color w:val="auto"/>
        </w:rPr>
      </w:pPr>
      <w:r>
        <w:rPr>
          <w:rFonts w:ascii="Arial" w:cs="Arial" w:eastAsia="Arial" w:hAnsi="Arial"/>
          <w:sz w:val="18"/>
          <w:szCs w:val="18"/>
          <w:color w:val="auto"/>
        </w:rPr>
        <w:t>The core technology of our Deep TMS based on H-Coils is covered by our patents.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intellectual property portfolio consists principally of patents and pending patent applications related to our Deep TMS technology that are either exclusively licensed to us for commercialization on a worldwide basis from (1) agencies of the U.S. Public Health Service (PHS) within the U.S. Department of Health and Human Services (DHHS), and (2) Yeda Research and Development Company Limited, or Yeda, the commercialization arm of the Weizmann Institute for Science (Weizmann Institute) or are owned by us. These include a total of 16 issued U.S. patents, 3 pending U.S. patent applications, 25 issued patents in other jurisdictions (treating Europe as one jurisdiction), and 26 pending patent applications in other jurisdictions.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strategy is to seek to protect our proprietary position by, among other methods, filing U.S. and foreign patent applications related to our proprietary technology, inventions, and improvements that are important to the development of our business. Our intellectual property rights outside of the United States are principally in Europe (France, Italy, Sweden, UK, and Germany), Canada, Australia, Japan, Hong Kong, and Israel. Patents related to our Deep TMS technology may provide future competitive advantages with claims related to aspects of the structure of our coils and methods of administration of treatment for applications of such technology. We also rely on our trade secrets, know-how and continuing technological innovation to develop and maintain our proprietary position. We look to defend our Deep TMS technology by asserting our intellectual property rights, where it is determined to be necessary, to preserve our rights and gain the benefit of our technological investments. We seek to obtain patents in connection with the technology that we have developed as part of our strategy for protection of our intellectual property, including technology covered under our license agreements with the PHS and Yeda.</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claiming strategy in each of our patent applications is based on the advice of our patent counsel and our business model and our business needs are taken into consideration. We file patent applications containing claims seeking protection of our proprietary technologies and products, as well as all new applications and/or uses we discover or develop for existing technologies and products, assuming these are strategically valuable. We continuously assess the number and types of patent applications, as well as the pending and issued patent claims, to ensure that appropriate coverage and value are obtained for our systems and methods, given the governing law and the corresponding patent office rules and regulations. In addition, claims may be modified during patent prosecution or additional claims added to meet our intellectual property and business needs.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first group of patents (Patent Family A) relates to the H-Coil technology in general: This includes coverage for the H-Coil for MDD, the H-Coil for OCD, the H-Coil for smoking addiction, and for future products we are developing. This group of patents has been exclusively licensed to us from the PHS, and includes two issued U.S. patents and seven issued patents in other jurisdictions. The issued patents are set to expire in 2024 in the U.S. and in 2021 in other countries.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both"/>
        <w:spacing w:after="0" w:line="257" w:lineRule="auto"/>
        <w:rPr>
          <w:sz w:val="20"/>
          <w:szCs w:val="20"/>
          <w:color w:val="auto"/>
        </w:rPr>
      </w:pPr>
      <w:r>
        <w:rPr>
          <w:rFonts w:ascii="Arial" w:cs="Arial" w:eastAsia="Arial" w:hAnsi="Arial"/>
          <w:sz w:val="18"/>
          <w:szCs w:val="18"/>
          <w:color w:val="auto"/>
        </w:rPr>
        <w:t>Our second group of patents (Patent Family B) relates to additional design features of BrainsWay’s MDD coil, BrainsWay’s smoking addiction coil, and also covers some future products we are developing. This group of patents has been licensed to us from the PHS and from Yeda, and includes six issued U.S. patents, nine issued patents in other jurisdictions, and two pending patent applications in other jurisdictions. The issued patents in this group are set to expire in 2025 in the U.S. and in 2026 in other countries, not taking into account any potential patent term adjustment or extension that may be available in the future.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 group of patents (Patent Family C) relates to a family of central base coils including BrainsWay’s OCD coil and also some future products that we are developing. This group of patents is owned by us, and includes three issued U.S. patents, six issued patents in other jurisdictions, and five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fourth group of patents (Patent Family D) relates to a family of unilateral coils including some future products we are developing. Patent Family D is owned by us, and includes one issued U.S. patent, three issued patents in other jurisdictions, and two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fifth group of patents (Patent Family E) consists of utility model patent applications which provide coverage of several H-coils, including those used in BrainsWay’s MDD and OCD systems. This group of patents (Patent Family E) is owned by us, and includes two issued Chinese Utility Model patent applications: one for BrainsWay’s MDD coil, and another one for BrainsWay’s OCD coil, one pending patent application in the U.S. and five pending patent applications in other jurisdictions incorporating both BrainsWay’s MDD and OCD systems. ..</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sixth group of patents (Patent Family F) relates to a family of circular coils including BrainsWay’s H-Coils for MDD and smoking, as well as some other future products we are developing. This group of patents (Patent Family F) is owned by us, and includes two issued U.S. patents, four issued patents in other jurisdictions and three pending patent applications in other jurisdictions. The issued patents are set to expire in 2033 in the U.S. and in 2034 in other countries, not taking into account any potential patent term adjustment or extension that may be available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seventh group of patents (Patent Family G) relates to real-time closed-loop brain stimulation and includes one pending patent application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three pending patent applications in other jurisdictions.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eighth group of patents (additional families of issued patents and pending patent applications) relates to a multichannel stimulator we are developing as an enhancement to our Deep TMS system, which we see as the next generation of our products, several H-Coil designs which may be future products, capabilities to address additional medical conditions such as the need to open the blood brain barrier, and biomarker research using Deep TMS with an EEG that we are currently conducting. These include five issued U.S. patents, two pending U.S. patent applications, eight issued patents in other jurisdictions, and seven pending patent applications in other jurisdictions. Patent applications in these families, if issued, are set to expire in 2029, 2031, 2033, and between 2037 and 2039, not taking into account any potential patent term adjustment or extension that may be available in the future.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list of patents noted above, an additional group of patents relates to multichannel stimulation and was acquired from TMS Innovations, LLC. More specifically, we recently completed transactions which we believe will enable us to broaden the scope of capabilities in the multichannel stimulator we are developing. Specifically, in February 2019, we acquired all rights previously held by TMS Innovations, LLC in certain specified patents relevant to this area and have completed the process of transferring these patents.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currently discussing the possibility of exclusively licensing certain rights held by the Board of Trustees of the Leland Stanford Junior University in various additional patents relating to this area.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jc w:val="both"/>
        <w:spacing w:after="0" w:line="277" w:lineRule="auto"/>
        <w:rPr>
          <w:sz w:val="20"/>
          <w:szCs w:val="20"/>
          <w:color w:val="auto"/>
        </w:rPr>
      </w:pPr>
      <w:r>
        <w:rPr>
          <w:rFonts w:ascii="Arial" w:cs="Arial" w:eastAsia="Arial" w:hAnsi="Arial"/>
          <w:sz w:val="18"/>
          <w:szCs w:val="18"/>
          <w:color w:val="auto"/>
        </w:rPr>
        <w:t>In addition to the list of patents noted above, in January 2020 we exercised our option to exclusively license the rights to certain patents relating to rotational field TMS from Yeda.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that may vary from one jurisdiction to another. Our ability to maintain and solidify our proprietary position for our technology will depend on our success in obtaining effective claims and enforcing those claims once granted. We can provide no assurance that our patent applications or those patent applications that we in-license will result in the issuance of any corresponding patents (other than any allowed patent applications, which normally result in the issuance of a patent after the applicant has paid the required issue fee). The inability of any such patent applications to be allowed may harm our ability to protect our intellectual property, our ability to compete in the neuromodulation market, and our results of operations. Our issued patents and those that may be issued in the future, or those licensed to us, may be challenged, narrowed, circumvented or found to be invalid or unenforceable, which could limit our ability to stop competitors from marketing related products. Neither we nor our licensors can be certain that we were the first to invent or first to file for the inventions claimed in our owned or licensed patents or patent applications which may also affect our ability to assert the patents against others. In addition, our competitors may design around our patents or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our future product can be commercialized, any related patent may expire or remain in force for only a short period following commercialization, thereby reducing any advantage of the patent. See “Risk Factors—Risk Relating to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core technology for Deep TMS is exclusively licensed to us for commercialization on a worldwide basis from the PHS and Yeda.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PHS License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initial discoveries of the Deep TMS technology and the feasibility studies for implementation of the technology were carried out in the framework of research performed at NIH by the scientific founders of our Company prior to its formation. The rights for such discoveries are owned by the DHHS and are now licensed to us by the PHS, an agency within the DHHS. Subsequent to these discoveries, applications were filed for registration of Patent Family A and Patent Family B (described under “—Patents” above) covering the H-Coils developed in the course of this research.</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2003, we entered into a license agreement with the PHS, pursuant to which we were granted (i) an exclusive license to develop, manufacture, use, import and sell any product or treatment which is created or based on the patents and which deals with TMS and (ii) the right to enter into sublicense agreements, subject to approval of the PHS. The U.S. government was granted an irrevocable, nonexclusive, nontransferable royalty-free license for use of any invention in connection with the patents, throughout the world, for the benefit of the U.S. government, a foreign government and other international organization under the provisions of a treaty or agreement applicable to the U.S. government at such time. In addition, the PHS is entitled to grant academic or commercial bodies a nonexclusive license for use of the patents for advancement of basic research only, subject to our consent.</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pay royalties consisting of 2% of our net sales or payments received from sales or leases of our Deep TMS systems using the licensed technology. In addition, we are required to pay a royalty of 8% of from the net cash proceeds we receive from any sublicenses, so long as the underlying intellectual property is valid and enforceable in the relevant territory.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PHS is responsible for registration and defense of Patent Family A, subject to indemnification by us for registration expenses. We are responsible for registration and defense of the Patent Family B and are required to bear all related expenses.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PHS license agreement is valid up until the expiration of the last to expire of the licensed patent rights under the agreement. The PHS may cancel the agreement in the event of, among others, (i) a fundamental breach by us, (ii) we enter into involuntary liquidation proceedings or shall become insolvent,</w:t>
      </w:r>
    </w:p>
    <w:p>
      <w:pPr>
        <w:jc w:val="both"/>
        <w:ind w:firstLine="8"/>
        <w:spacing w:after="0" w:line="270" w:lineRule="auto"/>
        <w:tabs>
          <w:tab w:leader="none" w:pos="327"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have not achieved our milestones under the agreement (all of which have been achieved as of the date hereof), (iv) we have maliciously made a false statement or has omitted a material fact in an application for a license or in any other report required under the agreement, (v) we do not make the product based upon the patents accessible to the public after commencement of the commercial marketing of the product, (vi) we are unable to bring the product to a level of safety which it must reach in order to license the product or (vii) we do not manufacture the licensed products substantially in the United States without reasonable justification, in each case, subject to a 90-day cure period (other than in respect of clause (ii) above). We may cancel the agreement at any time with 60 days’ notice, subject to payment of any outstanding royalties.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4" w:name="page95"/>
    <w:bookmarkEnd w:id="94"/>
    <w:p>
      <w:pPr>
        <w:jc w:val="both"/>
        <w:ind w:right="20"/>
        <w:spacing w:after="0" w:line="263" w:lineRule="auto"/>
        <w:rPr>
          <w:sz w:val="20"/>
          <w:szCs w:val="20"/>
          <w:color w:val="auto"/>
        </w:rPr>
      </w:pPr>
      <w:r>
        <w:rPr>
          <w:rFonts w:ascii="Arial" w:cs="Arial" w:eastAsia="Arial" w:hAnsi="Arial"/>
          <w:sz w:val="18"/>
          <w:szCs w:val="18"/>
          <w:color w:val="auto"/>
        </w:rPr>
        <w:t>If the PHS license agreement is terminated as a result of the expiration of the first registered patent under the agreement (as described above), we may continue to market and sell the products and processes in any country in which the patent is expired, without an obligation to pay royalties or any other payment whatsoever to the PHS.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Yeda License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2005, we entered into a research and licensing agreement with Yeda, which, as amended from time to time, we refer to as the Yeda license agreement, pursuant to which we licensed certain technologies developed at the Weizmann Institute in studies conducted by Prof. Avraham Zangen, the scientific founder and neurobiological advisor of the Company, in the field of treatment of depression using TMS technology. Under the Yeda license agreement, all of the rights, including the rights to registration of patents, rights and inventions, information and/or other results which shall arise from the research, referred to as the “licensed technology”, remain exclusively owned by Yeda. The Yeda license agreement grants us an exclusive license to use the licensed technology, throughout the world, for performance of research and development, manufacture, commercialization, and sale of systems for medical treatment in the field of TMS treatment. The license is valid with regard to every product up to the expiration or revocation date of the latest patent registered under the agreement in a particular country, provided that the date of expiry of the license shall be extended to a period of 15 years commencing on the date of first commercial sale of the product in such country. Yeda reserves the right to make use of the information which shall be developed for academic and research purposes only, including its publication, subject to various restrictions set forth in the agreement. We have agreed to lend to Yeda, without consideration, one Deep TMS system, which it shall use for academic research purposes only. We have the right to grant sublicenses subject to the fulfillment of conditions specified in the agreement.</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recently exercised our right to add the additional rotational field TMS innovation. To the extent products based on this technology are commercialized we will have to pay Yeda royalties, either at increased rates ranging from an additional 1.6%-2% for “combined products” (which also include innovations covered by previous agreements), or at a fixed rate of 5% for products based exclusively on the rotational field TMS.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customary termination rights of a party due to material breach by the other party, Yeda has the right to terminate the agreement in the event that Yeda receives notice or a claim from the PHS that performance of the research constitutes breach of a patent of the PHS. We have agreed to indemnify Yeda in respect of any such claim or demand from the PHS. To the best of our knowledge, the Yeda agreement and performance of the research thereunder do not breach the terms of our license agreement with the PHS.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any event of termination of the Yeda agreement, all of the rights in the licensed technology will be returned to Yeda, and we are required to grant Yeda a nonexclusive license, without consideration, in perpetuity, throughout the world for all information developed by it or which shall arise from the development of the products under the agreement, including any license or application for license submitted by us in connection with the products. Following the expiry of the latest patent in such country with regard to such product, we would be entitled to continue to manufacture and sell such product in such country without payment of royalties to Yeda.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 and Know-How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rely, in some circumstances, on trade secrets and know-how to protect our technology. However, trade secrets can be difficult to protect. We seek to protect our proprietary technology and processes, in part, through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Trend information is included throughout the other sections of this Item 5. In addition, the COVID-19 global pandemic has led governments and authorities around the globe, to take various precautionary measures in order to limit the spread of the COVID-19 global pandemic, including government-imposed quarantines, lockdowns, and other public health safety measures, which have had and continues to have an adverse effect on the global markets and its economy, including on the availability and pricing of materials, manufacturing and delivery efforts, sales to existing and potential customers and leads, collections from accounts, and other aspects of the global economy. Therefore, the COVID-19 global pandemic could continue to disrupt production and cause delays in the supply and delivery of products used in our operations, may further divert the attention and efforts of the medical community to coping with the COVID-19 global pandemic, impact our ability to recruit subjects for ongoing and planned clinical trials and disrupt the marketplace in which we operate and may have a material adverse effects on our operations, sales, revenues, collection from accounts and ability to raise funds. In particular, certain of our third-party suppliers may currently source certain components and materials of our Deep TMS systems from Asia and other affected countries, and the continued outbreak and spreading of the COVID-19 global pandemic may adversely impact our third-party suppliers’ development, manufacture, and supply of our Deep TMS systems. In addition, treatment sessions conducted with our Deep TMS system, which are generally scheduled or non-emergency procedures, may be postponed as hospitals and healthcare centers shift resources to patients affected by the COVID-19 global pandemic. The extent to which the COVID-19 global pandemic impacts our results will depend on future developments, which are highly uncertain and cannot be predicted, including new information which may emerge concerning the severity of the COVID-19 global pandemic and the actions to contain the COVID-19 global pandemic or treat its impact, among others. Moreover, the COVID-19 global pandemic outbreak has begun to have indeterminable adverse effects on general commercial activity and the world economy, and our business and results of operations could be adversely affected to the extent that this COVID-19 global pandemic or any other epidemic harms the global economy generally.</w:t>
      </w:r>
    </w:p>
    <w:p>
      <w:pPr>
        <w:spacing w:after="0" w:line="17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inception, 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 based on contractual payments: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Less than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1 - 3 years</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3 - 5 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Liability in respect of research and development</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grants (undiscounted)(2)</w:t>
            </w: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80" w:hanging="318"/>
        <w:spacing w:after="0" w:line="258"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Lease liabilities consist of our corporate facilities and motor vehicles. Our total lease payments on all of our facilities and vehicles are approximately $42,000 per month.</w:t>
      </w:r>
    </w:p>
    <w:p>
      <w:pPr>
        <w:spacing w:after="0" w:line="1" w:lineRule="exact"/>
        <w:rPr>
          <w:rFonts w:ascii="Arial" w:cs="Arial" w:eastAsia="Arial" w:hAnsi="Arial"/>
          <w:sz w:val="18"/>
          <w:szCs w:val="18"/>
          <w:color w:val="auto"/>
        </w:rPr>
      </w:pPr>
    </w:p>
    <w:p>
      <w:pPr>
        <w:ind w:left="380" w:hanging="318"/>
        <w:spacing w:after="0" w:line="260"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Liability in respect of research and developments consists of the projected royalty payments of 3% of revenues derived from research and developments projects for which participation grants were received from the Israeli Government.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4480" w:type="dxa"/>
            <w:vAlign w:val="bottom"/>
          </w:tcPr>
          <w:p>
            <w:pPr>
              <w:ind w:left="192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Senior Management:</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von Jako</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Dr. Yiftach Roth</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Scientist</w:t>
            </w:r>
          </w:p>
        </w:tc>
      </w:tr>
      <w:tr>
        <w:trPr>
          <w:trHeight w:val="202"/>
        </w:trPr>
        <w:tc>
          <w:tcPr>
            <w:tcW w:w="6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Hadar Levy</w:t>
            </w:r>
          </w:p>
        </w:tc>
        <w:tc>
          <w:tcPr>
            <w:tcW w:w="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Senior Vice President, General Manager of North America,</w:t>
            </w:r>
          </w:p>
        </w:tc>
      </w:tr>
      <w:tr>
        <w:trPr>
          <w:trHeight w:val="230"/>
        </w:trPr>
        <w:tc>
          <w:tcPr>
            <w:tcW w:w="5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and interim Chief Financial Officer</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Moria Ankri</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Vice President Research and Development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Ginou</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Field and Manager of Israel Operations</w:t>
            </w:r>
          </w:p>
        </w:tc>
      </w:tr>
      <w:tr>
        <w:trPr>
          <w:trHeight w:val="198"/>
        </w:trPr>
        <w:tc>
          <w:tcPr>
            <w:tcW w:w="6080" w:type="dxa"/>
            <w:vAlign w:val="bottom"/>
            <w:gridSpan w:val="2"/>
          </w:tcPr>
          <w:p>
            <w:pPr>
              <w:spacing w:after="0" w:line="198" w:lineRule="exact"/>
              <w:rPr>
                <w:sz w:val="20"/>
                <w:szCs w:val="20"/>
                <w:color w:val="auto"/>
              </w:rPr>
            </w:pPr>
            <w:r>
              <w:rPr>
                <w:rFonts w:ascii="Arial" w:cs="Arial" w:eastAsia="Arial" w:hAnsi="Arial"/>
                <w:sz w:val="18"/>
                <w:szCs w:val="18"/>
                <w:color w:val="auto"/>
              </w:rPr>
              <w:t>Christopher Boyer</w:t>
            </w:r>
          </w:p>
        </w:tc>
        <w:tc>
          <w:tcPr>
            <w:tcW w:w="560" w:type="dxa"/>
            <w:vAlign w:val="bottom"/>
          </w:tcPr>
          <w:p>
            <w:pPr>
              <w:jc w:val="center"/>
              <w:spacing w:after="0" w:line="198" w:lineRule="exact"/>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Arial" w:cs="Arial" w:eastAsia="Arial" w:hAnsi="Arial"/>
                <w:sz w:val="18"/>
                <w:szCs w:val="18"/>
                <w:color w:val="auto"/>
              </w:rPr>
              <w:t>Vice President of Global Marketing</w:t>
            </w: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David Zacut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Avner Hagai(2)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Eti Mitrany(1)(2)</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Karen Sarid(1)(2)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 Abraham Zangen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Yossi Ben Shalom</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Avner Lushi(1)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 of our audit committee that also serves as our financial statements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Christopher R. von Jako </w:t>
      </w:r>
      <w:r>
        <w:rPr>
          <w:rFonts w:ascii="Arial" w:cs="Arial" w:eastAsia="Arial" w:hAnsi="Arial"/>
          <w:sz w:val="17"/>
          <w:szCs w:val="17"/>
          <w:color w:val="auto"/>
        </w:rPr>
        <w:t>serves as our president and chief executive officer since January 1, 2020. Most recently, Dr. von Jako served as CEO of</w:t>
      </w:r>
      <w:r>
        <w:rPr>
          <w:rFonts w:ascii="Arial" w:cs="Arial" w:eastAsia="Arial" w:hAnsi="Arial"/>
          <w:sz w:val="17"/>
          <w:szCs w:val="17"/>
          <w:i w:val="1"/>
          <w:iCs w:val="1"/>
          <w:color w:val="auto"/>
        </w:rPr>
        <w:t xml:space="preserve"> </w:t>
      </w:r>
      <w:r>
        <w:rPr>
          <w:rFonts w:ascii="Arial" w:cs="Arial" w:eastAsia="Arial" w:hAnsi="Arial"/>
          <w:sz w:val="17"/>
          <w:szCs w:val="17"/>
          <w:color w:val="auto"/>
        </w:rPr>
        <w:t>Dynatronics Corporation, a publicly-traded medical device company focusing on high-quality restorative products. Prior to Dynatronics, he served as President and CEO of other companies including NinePoint Medical, Inc. and NeuroTherm, Inc. Earlier in his career, he held increasingly senior roles with other leading medical device companies, including Integra LifeSciences, Covidien, Medtronic, and Radionics. Dr. von Jako holds a Ph.D. in Biomedical Sciences from the University of Pécs, a M.S. degree in Radiological Sciences and Technology from the department of Nuclear Engineering at the Massachusetts Institute of Technology, and a double B.S. degree in Physics and Mathematics from Bates College. He resides in Lynnfield, Massachusetts and continues to serve as an independent director on the boards of NinePoint Medical, Inc., and nView medical Inc.</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Dr. Yiftach Roth </w:t>
      </w:r>
      <w:r>
        <w:rPr>
          <w:rFonts w:ascii="Arial" w:cs="Arial" w:eastAsia="Arial" w:hAnsi="Arial"/>
          <w:sz w:val="16"/>
          <w:szCs w:val="16"/>
          <w:color w:val="auto"/>
        </w:rPr>
        <w:t>is one of our scientific founders and key inventors of the Deep TMS technology. Dr. Roth has served as our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since May 2006 and as a member of the Board of Directors since November 2006. In 2010, Dr. Roth became our Chief Scientist. From 2003 through 2006, Dr. Roth worked in the Advanced Technology Center of the Chaim Sheba Medical Center at Tel Hashomer as a researcher in the field of Magnetic Resonance Imaging (MRI). Dr. Roth holds B.Sc. and M.Sc. degrees in Physics and a Ph.D. in Medical Physics from Tel Aviv University.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spacing w:after="0" w:line="255" w:lineRule="auto"/>
        <w:rPr>
          <w:sz w:val="20"/>
          <w:szCs w:val="20"/>
          <w:color w:val="auto"/>
        </w:rPr>
      </w:pPr>
      <w:r>
        <w:rPr>
          <w:rFonts w:ascii="Arial" w:cs="Arial" w:eastAsia="Arial" w:hAnsi="Arial"/>
          <w:sz w:val="18"/>
          <w:szCs w:val="18"/>
          <w:i w:val="1"/>
          <w:iCs w:val="1"/>
          <w:color w:val="auto"/>
        </w:rPr>
        <w:t xml:space="preserve">Hadar Levy </w:t>
      </w:r>
      <w:r>
        <w:rPr>
          <w:rFonts w:ascii="Arial" w:cs="Arial" w:eastAsia="Arial" w:hAnsi="Arial"/>
          <w:sz w:val="18"/>
          <w:szCs w:val="18"/>
          <w:color w:val="auto"/>
        </w:rPr>
        <w:t>has served as our Senior Vice President and General Manager North America since May 2020 and is currently also serving as our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Prior to this, Mr. Levy served as our Chief Financial Officer from September 2014 to May 2020. Prior to his service at the Company, from August 2011 to September 2014 Mr. Levy served as Chief Financial Officer of the Latin American Division at Amdocs; and from 2008 to 2011, served as Chief Financial Officer &amp; Vice President of Business Development of Notalvision. Prior to this position, he served as Controller of GE Healthcare Israel. Mr. Levy holds a BA in Economics and Accounting from Ruppin and an LLM from Bar Ilan University. Mr. Levy is a Certified Public Accountant.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Moria Ankri </w:t>
      </w:r>
      <w:r>
        <w:rPr>
          <w:rFonts w:ascii="Arial" w:cs="Arial" w:eastAsia="Arial" w:hAnsi="Arial"/>
          <w:sz w:val="18"/>
          <w:szCs w:val="18"/>
          <w:color w:val="auto"/>
        </w:rPr>
        <w:t>has served as our Vice President of Research and Development since September 2017. Prior to her service as a Vice President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from 2010 to 2017, Ms. Ankri served as a manager at the Biomedical Development Department of our Company and as a research and development project manager at our Company. Ms. Ankri holds a B.Sc. in Biomedical Engineering from the Jerusalem College of Technology, and a B.Sc. in neurobiology studies at the Hebrew University of Jerusalem.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Amit Ginou </w:t>
      </w:r>
      <w:r>
        <w:rPr>
          <w:rFonts w:ascii="Arial" w:cs="Arial" w:eastAsia="Arial" w:hAnsi="Arial"/>
          <w:sz w:val="18"/>
          <w:szCs w:val="18"/>
          <w:color w:val="auto"/>
        </w:rPr>
        <w:t>has served as our Vice President of Field and Clinical Operations since October 2013. Previously, Mr. Ginou served as the Clinical Trials</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our Company from November 2008 to October 2013. Mr. Ginou holds a B.Sc. in Neuroscience from Bar Ilan University and a MA degree in Law from Bar Ilan University.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Christopher Boyer </w:t>
      </w:r>
      <w:r>
        <w:rPr>
          <w:rFonts w:ascii="Arial" w:cs="Arial" w:eastAsia="Arial" w:hAnsi="Arial"/>
          <w:sz w:val="16"/>
          <w:szCs w:val="16"/>
          <w:color w:val="auto"/>
        </w:rPr>
        <w:t>served as Managing Director of Drake Partners LLC, a start-up private equity and management consulting firm, where he led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activities for many of the portfolio companies. Prior to Drake Partners, he was Vice President at St. Jude Medical (now part of Abbott), where he managed the commercial integration of NeuroTherm, Inc. He was formerly the Vice President, America Sales, and Global Marketing for NeuroTherm, an international pain management company, where he transformed the sales and marketing organizations to accelerate revenue growth. This effort contributed to the subsequent sale of the company to St. Jude Medical. Earlier in his career, Mr. Boyer held marketing roles of increasing responsibility at Smith &amp; Nephew and Stryker. Prior to his medical device career, he was a field artillery captain in the United States Army, and he received a Bronze Star Medal for his service. Mr. Boyer holds a B.S. in Mathematical Sciences from the United States Military Academy at West Point.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Dr. David Zacut </w:t>
      </w:r>
      <w:r>
        <w:rPr>
          <w:rFonts w:ascii="Arial" w:cs="Arial" w:eastAsia="Arial" w:hAnsi="Arial"/>
          <w:sz w:val="16"/>
          <w:szCs w:val="16"/>
          <w:color w:val="auto"/>
        </w:rPr>
        <w:t>has served as our Chairman of the Board of Directors since our inception and has been providing consulting services to Brain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Services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Dr. Zacut holds an M.D. degree from the Hebrew University of Jerusalem.</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Avner Hagai </w:t>
      </w:r>
      <w:r>
        <w:rPr>
          <w:rFonts w:ascii="Arial" w:cs="Arial" w:eastAsia="Arial" w:hAnsi="Arial"/>
          <w:sz w:val="17"/>
          <w:szCs w:val="17"/>
          <w:color w:val="auto"/>
        </w:rPr>
        <w:t>has served as our Vice Chairman of the Board of Directors since November 2006 and currently serves as a member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He serves as a director at several companies, including Prisma F.S. Ltd., a building management company, where he has served since 2002. Mr. Hagai established A.A. Glass Ltd., an automotive glass and services company, where he has served as a director since 1984.</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Eti Mitrany </w:t>
      </w:r>
      <w:r>
        <w:rPr>
          <w:rFonts w:ascii="Arial" w:cs="Arial" w:eastAsia="Arial" w:hAnsi="Arial"/>
          <w:sz w:val="17"/>
          <w:szCs w:val="17"/>
          <w:color w:val="auto"/>
        </w:rPr>
        <w:t>has served as our Director since June 2016, and currently serves as chairperson of our compensation committee and a member of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Ms. Mitrany Ms. Mitrany is an executive with over 25 years of global experience in the Life Sciences industry and currently serves as a business and financial consultant to start-up and Israeli-based corporate entities. From 2012 until January 2020, she served as Senior Vice President, Head of the Corporate Economic Department at Teva Pharmaceuticals, with global responsibility for Teva’s business planning and analysis. Prior to that, Ms. Mitrany held various positions at Teva, including serving as CFO of its global specialty business (commercial, R&amp;D, and new ventures), head of Financial Planning &amp; Analysis of the global branded business, and global CFO of Copaxone (a multiple sclerosis treatment) and various other specialty products. Ms. Mitrany received her BA in Economics and MBA in Finance, both from Tel-Aviv University.</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Prof. Avraham Zangen </w:t>
      </w:r>
      <w:r>
        <w:rPr>
          <w:rFonts w:ascii="Arial" w:cs="Arial" w:eastAsia="Arial" w:hAnsi="Arial"/>
          <w:sz w:val="17"/>
          <w:szCs w:val="17"/>
          <w:color w:val="auto"/>
        </w:rPr>
        <w:t>is the Head of the Brain Stimulation and Behavior Lab and the Chair of the PsychoBiology Brain Program at Ben-Gurion University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 which serves as BrainsWay’s platform technology. Professor Zangen has published over 150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jc w:val="both"/>
        <w:spacing w:after="0" w:line="259" w:lineRule="auto"/>
        <w:rPr>
          <w:sz w:val="20"/>
          <w:szCs w:val="20"/>
          <w:color w:val="auto"/>
        </w:rPr>
      </w:pPr>
      <w:r>
        <w:rPr>
          <w:rFonts w:ascii="Arial" w:cs="Arial" w:eastAsia="Arial" w:hAnsi="Arial"/>
          <w:sz w:val="18"/>
          <w:szCs w:val="18"/>
          <w:i w:val="1"/>
          <w:iCs w:val="1"/>
          <w:color w:val="auto"/>
        </w:rPr>
        <w:t xml:space="preserve">Karen Sarid </w:t>
      </w:r>
      <w:r>
        <w:rPr>
          <w:rFonts w:ascii="Arial" w:cs="Arial" w:eastAsia="Arial" w:hAnsi="Arial"/>
          <w:sz w:val="18"/>
          <w:szCs w:val="18"/>
          <w:color w:val="auto"/>
        </w:rPr>
        <w:t>has served as our Director since December 2017 and currently serves as chairperson of our audit committee and a member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Between March 2014 and July 2017, Ms. Sarid served as VP Beauty and Dental and as Chairman of China activities at Syneron Medical Ltd. Between January 2012 and August 2013 Ms. Sarid served as President of Alma Lasers Ltd. Ms. Sarid currently serves as a director of Eva Visual Ltd. She holds a BA in Economics and Accounting from the University of Haifa.</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Yossi Ben Shalom </w:t>
      </w:r>
      <w:r>
        <w:rPr>
          <w:rFonts w:ascii="Arial" w:cs="Arial" w:eastAsia="Arial" w:hAnsi="Arial"/>
          <w:sz w:val="17"/>
          <w:szCs w:val="17"/>
          <w:color w:val="auto"/>
        </w:rPr>
        <w:t>has served as our Director since December 2018. Mr. Ben Shalom is a co-founder of D.B.S.I, a private investment company specializing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in investments in mature companies that are positioned globally for high growth or built for vast expansion through M&amp;As. As such, Mr. Ben Shalom serves as the Chairman of Pointer Telocation Ltd. (Nasdaq: PNTR), Rada (Nasdaq: RADA) and Shagrir Group Car Services Ltd. (TASE: SHGR). He also serves as a director at Taldor Computer Systems (1986) Ltd. (TASE: TALD), Eldan Cargo Ltd., The 8 Note Production &amp; Distribution Ltd., Car 2 Go Ltd., Matzman Et Merutz Milenum Ltd. and Kafrit Industries (1993) Ltd. Mr. Ben Shalom was Executive Vice President and Chief Financial Officer of Koor Industries Ltd. from 1998 through to 2000. Before that, Mr. Ben-Shalom served as Chief Financial Officer of Tadiran Ltd. between 1994 and 1998. Mr. Ben Shalom holds a BA in Economics and an MA in Business Administration both from Tel Aviv University.</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Mr. Avner Lushi </w:t>
      </w:r>
      <w:r>
        <w:rPr>
          <w:rFonts w:ascii="Arial" w:cs="Arial" w:eastAsia="Arial" w:hAnsi="Arial"/>
          <w:sz w:val="17"/>
          <w:szCs w:val="17"/>
          <w:color w:val="auto"/>
        </w:rPr>
        <w:t>has served as our Director since January 2020 and currently serves as a member of our audit committee. He co-founded the Guangzhou</w:t>
      </w:r>
      <w:r>
        <w:rPr>
          <w:rFonts w:ascii="Arial" w:cs="Arial" w:eastAsia="Arial" w:hAnsi="Arial"/>
          <w:sz w:val="17"/>
          <w:szCs w:val="17"/>
          <w:i w:val="1"/>
          <w:iCs w:val="1"/>
          <w:color w:val="auto"/>
        </w:rPr>
        <w:t xml:space="preserve"> </w:t>
      </w:r>
      <w:r>
        <w:rPr>
          <w:rFonts w:ascii="Arial" w:cs="Arial" w:eastAsia="Arial" w:hAnsi="Arial"/>
          <w:sz w:val="17"/>
          <w:szCs w:val="17"/>
          <w:color w:val="auto"/>
        </w:rPr>
        <w:t>Sino-Israel Bio-industry Investment Fund (GIBF) which focuses on introducing Israeli and western life sciences companies to the Chinese market (and related investments),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Since 2005, Mr. Lushi has served as an independent board member at nine public companies, the two last active ones being Ram-On Investments and Holdings (1999) Ltd and Allmed Solutions Ltd. In addition, he serves as a board member of several private companies as part of his role at GIBF. From 1997 to 2001, prior to turning to the private sector, he held increasingly senior roles within the Israeli Prime Minister’s Chamber and the Israeli Supreme Court. Mr. Lushi holds an LLM in Law from the Hebrew University of Jerusalem, LLB in Law and a BA in Economics from the Haifa University.</w:t>
      </w:r>
    </w:p>
    <w:p>
      <w:pPr>
        <w:spacing w:after="0" w:line="17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compensation paid, and benefits-in-kind granted to or accrued on behalf of all of our directors and executive officers for their services, in all capacities, to us during the year ended December 31, 2020, was approximately $1.6 million. Out of that amount $1.0 million was paid as salary, $0.25 million was attributed to the value of the equity-based awards granted to senior management during 2020, approximately $0.05 million was attributed to retirement plans and approximately $0.3 million was attributed to all other compensation. No additional amounts have been set aside or accrued by us to provide pension, retirement or similar benefits.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terms for our directors and officers are derived from their employment agreements, and comply with our amended Compensation Policy for Executive Officers and Directors recently approved by our shareholders in January 2020 (the “Compensation Policy”).</w:t>
      </w:r>
    </w:p>
    <w:p>
      <w:pPr>
        <w:spacing w:after="0" w:line="14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table and summary below outline the compensation granted to our five highest compensated directors and officers during the year ended December 31, 2020. The compensation detailed in the table below refers to actual compensation granted or paid to the director or officer during the year 2020.</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Base</w:t>
            </w: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Salary</w:t>
            </w: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Value of</w:t>
            </w:r>
          </w:p>
        </w:tc>
        <w:tc>
          <w:tcPr>
            <w:tcW w:w="7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Equity Based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660" w:type="dxa"/>
            <w:vAlign w:val="bottom"/>
          </w:tcPr>
          <w:p>
            <w:pPr>
              <w:spacing w:after="0"/>
              <w:rPr>
                <w:sz w:val="19"/>
                <w:szCs w:val="19"/>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or Other</w:t>
            </w:r>
          </w:p>
        </w:tc>
        <w:tc>
          <w:tcPr>
            <w:tcW w:w="1340" w:type="dxa"/>
            <w:vAlign w:val="bottom"/>
          </w:tcPr>
          <w:p>
            <w:pPr>
              <w:ind w:left="640"/>
              <w:spacing w:after="0"/>
              <w:rPr>
                <w:sz w:val="20"/>
                <w:szCs w:val="20"/>
                <w:color w:val="auto"/>
              </w:rPr>
            </w:pPr>
            <w:r>
              <w:rPr>
                <w:rFonts w:ascii="Arial" w:cs="Arial" w:eastAsia="Arial" w:hAnsi="Arial"/>
                <w:sz w:val="18"/>
                <w:szCs w:val="18"/>
                <w:b w:val="1"/>
                <w:bCs w:val="1"/>
                <w:color w:val="auto"/>
              </w:rPr>
              <w:t>Social</w:t>
            </w:r>
          </w:p>
        </w:tc>
        <w:tc>
          <w:tcPr>
            <w:tcW w:w="7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All Other</w:t>
            </w:r>
          </w:p>
        </w:tc>
        <w:tc>
          <w:tcPr>
            <w:tcW w:w="1100" w:type="dxa"/>
            <w:vAlign w:val="bottom"/>
          </w:tcPr>
          <w:p>
            <w:pPr>
              <w:spacing w:after="0"/>
              <w:rPr>
                <w:sz w:val="19"/>
                <w:szCs w:val="19"/>
                <w:color w:val="auto"/>
              </w:rPr>
            </w:pPr>
          </w:p>
        </w:tc>
      </w:tr>
      <w:tr>
        <w:trPr>
          <w:trHeight w:val="271"/>
        </w:trPr>
        <w:tc>
          <w:tcPr>
            <w:tcW w:w="3660" w:type="dxa"/>
            <w:vAlign w:val="bottom"/>
          </w:tcPr>
          <w:p>
            <w:pPr>
              <w:spacing w:after="0"/>
              <w:rPr>
                <w:sz w:val="20"/>
                <w:szCs w:val="20"/>
                <w:color w:val="auto"/>
              </w:rPr>
            </w:pPr>
            <w:r>
              <w:rPr>
                <w:rFonts w:ascii="Arial" w:cs="Arial" w:eastAsia="Arial" w:hAnsi="Arial"/>
                <w:sz w:val="18"/>
                <w:szCs w:val="18"/>
                <w:b w:val="1"/>
                <w:bCs w:val="1"/>
                <w:color w:val="auto"/>
              </w:rPr>
              <w:t>Name and position of director or officer</w:t>
            </w:r>
          </w:p>
        </w:tc>
        <w:tc>
          <w:tcPr>
            <w:tcW w:w="1740" w:type="dxa"/>
            <w:vAlign w:val="bottom"/>
          </w:tcPr>
          <w:p>
            <w:pPr>
              <w:jc w:val="center"/>
              <w:ind w:right="70"/>
              <w:spacing w:after="0" w:line="271" w:lineRule="exact"/>
              <w:rPr>
                <w:sz w:val="20"/>
                <w:szCs w:val="20"/>
                <w:color w:val="auto"/>
              </w:rPr>
            </w:pPr>
            <w:r>
              <w:rPr>
                <w:rFonts w:ascii="Arial" w:cs="Arial" w:eastAsia="Arial" w:hAnsi="Arial"/>
                <w:sz w:val="18"/>
                <w:szCs w:val="18"/>
                <w:b w:val="1"/>
                <w:bCs w:val="1"/>
                <w:color w:val="auto"/>
                <w:w w:val="86"/>
              </w:rPr>
              <w:t>Payments</w:t>
            </w:r>
            <w:r>
              <w:rPr>
                <w:rFonts w:ascii="Arial" w:cs="Arial" w:eastAsia="Arial" w:hAnsi="Arial"/>
                <w:sz w:val="29"/>
                <w:szCs w:val="29"/>
                <w:b w:val="1"/>
                <w:bCs w:val="1"/>
                <w:color w:val="auto"/>
                <w:w w:val="86"/>
                <w:vertAlign w:val="superscript"/>
              </w:rPr>
              <w:t>(1)</w:t>
            </w:r>
          </w:p>
        </w:tc>
        <w:tc>
          <w:tcPr>
            <w:tcW w:w="1340" w:type="dxa"/>
            <w:vAlign w:val="bottom"/>
          </w:tcPr>
          <w:p>
            <w:pPr>
              <w:ind w:left="480"/>
              <w:spacing w:after="0" w:line="271" w:lineRule="exact"/>
              <w:rPr>
                <w:sz w:val="20"/>
                <w:szCs w:val="20"/>
                <w:color w:val="auto"/>
              </w:rPr>
            </w:pPr>
            <w:r>
              <w:rPr>
                <w:rFonts w:ascii="Arial" w:cs="Arial" w:eastAsia="Arial" w:hAnsi="Arial"/>
                <w:sz w:val="18"/>
                <w:szCs w:val="18"/>
                <w:b w:val="1"/>
                <w:bCs w:val="1"/>
                <w:color w:val="auto"/>
                <w:w w:val="90"/>
              </w:rPr>
              <w:t>benefits</w:t>
            </w:r>
            <w:r>
              <w:rPr>
                <w:rFonts w:ascii="Arial" w:cs="Arial" w:eastAsia="Arial" w:hAnsi="Arial"/>
                <w:sz w:val="29"/>
                <w:szCs w:val="29"/>
                <w:b w:val="1"/>
                <w:bCs w:val="1"/>
                <w:color w:val="auto"/>
                <w:w w:val="90"/>
                <w:vertAlign w:val="superscript"/>
              </w:rPr>
              <w:t>(2)</w:t>
            </w:r>
          </w:p>
        </w:tc>
        <w:tc>
          <w:tcPr>
            <w:tcW w:w="700" w:type="dxa"/>
            <w:vAlign w:val="bottom"/>
          </w:tcPr>
          <w:p>
            <w:pPr>
              <w:spacing w:after="0"/>
              <w:rPr>
                <w:sz w:val="23"/>
                <w:szCs w:val="23"/>
                <w:color w:val="auto"/>
              </w:rPr>
            </w:pPr>
          </w:p>
        </w:tc>
        <w:tc>
          <w:tcPr>
            <w:tcW w:w="12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8"/>
              </w:rPr>
              <w:t>Granted</w:t>
            </w:r>
            <w:r>
              <w:rPr>
                <w:rFonts w:ascii="Arial" w:cs="Arial" w:eastAsia="Arial" w:hAnsi="Arial"/>
                <w:sz w:val="29"/>
                <w:szCs w:val="29"/>
                <w:b w:val="1"/>
                <w:bCs w:val="1"/>
                <w:color w:val="auto"/>
                <w:w w:val="88"/>
                <w:vertAlign w:val="superscript"/>
              </w:rPr>
              <w:t>(3)</w:t>
            </w:r>
          </w:p>
        </w:tc>
        <w:tc>
          <w:tcPr>
            <w:tcW w:w="1440" w:type="dxa"/>
            <w:vAlign w:val="bottom"/>
            <w:gridSpan w:val="2"/>
          </w:tcPr>
          <w:p>
            <w:pPr>
              <w:jc w:val="center"/>
              <w:ind w:right="40"/>
              <w:spacing w:after="0" w:line="271" w:lineRule="exact"/>
              <w:rPr>
                <w:sz w:val="20"/>
                <w:szCs w:val="20"/>
                <w:color w:val="auto"/>
              </w:rPr>
            </w:pPr>
            <w:r>
              <w:rPr>
                <w:rFonts w:ascii="Arial" w:cs="Arial" w:eastAsia="Arial" w:hAnsi="Arial"/>
                <w:sz w:val="18"/>
                <w:szCs w:val="18"/>
                <w:b w:val="1"/>
                <w:bCs w:val="1"/>
                <w:color w:val="auto"/>
                <w:w w:val="86"/>
              </w:rPr>
              <w:t>Compensation</w:t>
            </w:r>
            <w:r>
              <w:rPr>
                <w:rFonts w:ascii="Arial" w:cs="Arial" w:eastAsia="Arial" w:hAnsi="Arial"/>
                <w:sz w:val="29"/>
                <w:szCs w:val="29"/>
                <w:b w:val="1"/>
                <w:bCs w:val="1"/>
                <w:color w:val="auto"/>
                <w:w w:val="86"/>
                <w:vertAlign w:val="superscript"/>
              </w:rPr>
              <w:t>(4)</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09"/>
        </w:trPr>
        <w:tc>
          <w:tcPr>
            <w:tcW w:w="36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Christopher von Jako, President and CEO</w:t>
            </w:r>
          </w:p>
        </w:tc>
        <w:tc>
          <w:tcPr>
            <w:tcW w:w="1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323,750</w:t>
            </w:r>
          </w:p>
        </w:tc>
        <w:tc>
          <w:tcPr>
            <w:tcW w:w="1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182,440</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646,190</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9"/>
              </w:rPr>
              <w:t>Hadar Levy, SVP and General Manager North</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America and interim Chief Financial Officer</w:t>
            </w:r>
          </w:p>
        </w:tc>
        <w:tc>
          <w:tcPr>
            <w:tcW w:w="1740" w:type="dxa"/>
            <w:vAlign w:val="bottom"/>
          </w:tcPr>
          <w:p>
            <w:pPr>
              <w:jc w:val="right"/>
              <w:ind w:right="410"/>
              <w:spacing w:after="0"/>
              <w:rPr>
                <w:sz w:val="20"/>
                <w:szCs w:val="20"/>
                <w:color w:val="auto"/>
              </w:rPr>
            </w:pPr>
            <w:r>
              <w:rPr>
                <w:rFonts w:ascii="Arial" w:cs="Arial" w:eastAsia="Arial" w:hAnsi="Arial"/>
                <w:sz w:val="18"/>
                <w:szCs w:val="18"/>
                <w:color w:val="auto"/>
              </w:rPr>
              <w:t>280,250</w:t>
            </w:r>
          </w:p>
        </w:tc>
        <w:tc>
          <w:tcPr>
            <w:tcW w:w="1340" w:type="dxa"/>
            <w:vAlign w:val="bottom"/>
          </w:tcPr>
          <w:p>
            <w:pPr>
              <w:ind w:left="6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148,282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73,750</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502,279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Christopher Boyer, VP Global Marketing</w:t>
            </w:r>
          </w:p>
        </w:tc>
        <w:tc>
          <w:tcPr>
            <w:tcW w:w="1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121,000</w:t>
            </w:r>
          </w:p>
        </w:tc>
        <w:tc>
          <w:tcPr>
            <w:tcW w:w="1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28,619</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25,667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175,285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Amit Ginou, VP, and Israel Site Manager</w:t>
            </w:r>
          </w:p>
        </w:tc>
        <w:tc>
          <w:tcPr>
            <w:tcW w:w="1740" w:type="dxa"/>
            <w:vAlign w:val="bottom"/>
          </w:tcPr>
          <w:p>
            <w:pPr>
              <w:jc w:val="right"/>
              <w:ind w:right="410"/>
              <w:spacing w:after="0"/>
              <w:rPr>
                <w:sz w:val="20"/>
                <w:szCs w:val="20"/>
                <w:color w:val="auto"/>
              </w:rPr>
            </w:pPr>
            <w:r>
              <w:rPr>
                <w:rFonts w:ascii="Arial" w:cs="Arial" w:eastAsia="Arial" w:hAnsi="Arial"/>
                <w:sz w:val="18"/>
                <w:szCs w:val="18"/>
                <w:color w:val="auto"/>
              </w:rPr>
              <w:t>115,986</w:t>
            </w:r>
          </w:p>
        </w:tc>
        <w:tc>
          <w:tcPr>
            <w:tcW w:w="13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31,811</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167,617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Judy Huber, former SVP and CFO</w:t>
            </w:r>
          </w:p>
        </w:tc>
        <w:tc>
          <w:tcPr>
            <w:tcW w:w="1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165,038</w:t>
            </w:r>
          </w:p>
        </w:tc>
        <w:tc>
          <w:tcPr>
            <w:tcW w:w="1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165,038</w:t>
            </w:r>
          </w:p>
        </w:tc>
      </w:tr>
    </w:tbl>
    <w:p>
      <w:pPr>
        <w:spacing w:after="0" w:line="202" w:lineRule="exact"/>
        <w:rPr>
          <w:sz w:val="20"/>
          <w:szCs w:val="20"/>
          <w:color w:val="auto"/>
        </w:rPr>
      </w:pPr>
    </w:p>
    <w:p>
      <w:pPr>
        <w:ind w:left="340" w:hanging="332"/>
        <w:spacing w:after="0" w:line="258"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 Salary or Other Payments” means the aggregate yearly gross monthly salaries or other payments with respect our senior management and members of the board of directors for the year ended December 31, 2020.</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“Social Benefits” include payments to the National Insurance Institute, advanced education funds, managers’ insurance and pension funds; vacation pay; and recuperation pay as mandated by Israeli law.</w:t>
      </w:r>
    </w:p>
    <w:p>
      <w:pPr>
        <w:jc w:val="both"/>
        <w:ind w:left="340" w:hanging="332"/>
        <w:spacing w:after="0" w:line="250"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the fair value of the equity-based compensation granted during the year ended December 31, 2020 in exchange for the directors' and officers' services recognized as an expense in profit or loss and is carried to the accumulated deficit under equity. The total amount recognized as an expense over the vesting period of the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Other Compensation” includes, among other things, bonuses, car-related expenses (including tax gross-up) and communication expenses.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all of our directors and executive officers are covered under our directors’ and executive officers’ liability insurance policies and were granted letters of indemnification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written employment or service agreements with each member of our senior management. All of these agreements contain customary provisions regarding noncompetition, confidentiality of information, and assignment of inventions. However, the enforceability of the noncompetition provisions may be limited under applicable laws.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exemption and indemnification letters granted to our directors and officers, please see “Item 6C. – Board Practices – Exemption, Insurance and Indemnification of Directors and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the filing of this annual report, we pay our independent directors an annual cash fee of NIS 47,000 (approximately $14,240) except for Ms. Karen Sarid to whom we pay an annual cash fee of NIS 63,000 (approximately $19,090) for her expertise and special contributions to the work of our Board and its committees. Additionally, as of the date of the filing of this annual report, we pay a cash fee of NIS 2,450 (approximately $740) per meeting of the Board and any committee thereof (or a portion of said amount for meetings which are not attended in person and the payment amount is reduced pursuant to applicable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under the Israeli Companies Law, a public company must have a compensation policy approved by the board of directors after receiving and considering the recommendations of the compensation committee. In addition, the compensation policy requires the approval of the general meeting of the shareholders. In public companies such as our Company, shareholder approval requires one of the following: (i) the majority of shareholder votes counted at a general meeting including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spacing w:after="0" w:line="277" w:lineRule="auto"/>
        <w:rPr>
          <w:sz w:val="20"/>
          <w:szCs w:val="20"/>
          <w:color w:val="auto"/>
        </w:rPr>
      </w:pPr>
      <w:r>
        <w:rPr>
          <w:rFonts w:ascii="Arial" w:cs="Arial" w:eastAsia="Arial" w:hAnsi="Arial"/>
          <w:sz w:val="18"/>
          <w:szCs w:val="18"/>
          <w:color w:val="auto"/>
        </w:rPr>
        <w:t>The compensation policy must be based on certain considerations, include certain provisions, and needs to reference certain matters as set forth in the Israeli Companies Law.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88"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office holder’s position, responsibilities, and prior compensation agreements with him or her;</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components—the possibility of reducing variable components at the discretion of the board of directors and the possibility of setting a limit on the value of variable equity-based components not settled in cash; and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terms of employment include severance compensation—the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he or she is leaving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policy must also include, among others:</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regards to variable components in the terms of office and employment:</w:t>
      </w:r>
    </w:p>
    <w:p>
      <w:pPr>
        <w:spacing w:after="0" w:line="22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holder’s shall be awarded based on non-measurable criteria, if such amount is not higher than three monthly salaries per annum, while taking into account such office holder contribution to the company;</w:t>
      </w:r>
    </w:p>
    <w:p>
      <w:pPr>
        <w:spacing w:after="0" w:line="171"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ratio between variable and fixed components, as well as the limit of the values of variable components at the time of their payment. However, with respect to variable equity-based components that are not settled in cash, the limit of their value at the time of grant.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compensation policy is designed to promote retention and motivation of directors and senior management, incentivize superior individual excellence, align the interests of our directors and senior management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limitations on the value of cash bonuses and equity-based compensation to a maximum number of monthly salaries, limitations on the ratio between the variable and the total compensation of an executive officer and minimum vesting periods for equity-based compensation.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1" w:name="page102"/>
    <w:bookmarkEnd w:id="101"/>
    <w:p>
      <w:pPr>
        <w:jc w:val="both"/>
        <w:spacing w:after="0" w:line="270" w:lineRule="auto"/>
        <w:rPr>
          <w:sz w:val="20"/>
          <w:szCs w:val="20"/>
          <w:color w:val="auto"/>
        </w:rPr>
      </w:pPr>
      <w:r>
        <w:rPr>
          <w:rFonts w:ascii="Arial" w:cs="Arial" w:eastAsia="Arial" w:hAnsi="Arial"/>
          <w:sz w:val="17"/>
          <w:szCs w:val="17"/>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senior management, and considers the internal ratios between compensation of our senior management and directors and other employees. Pursuant to our compensation policy, the compensation that may be granted to an executive officer may include: base salary, indemnification and insurance, annual bonuses and other cash bonuses (such as a signing bonus and special bonuses with respect to any special achievements, such as outstanding personal achievement, outstanding personal effort or outstanding company performance), equity-based compensation, social benefits, retirement, and termination of service arrangements. All cash bonuses to executive officers (except for “special bonuses”) are limited to a maximum amount linked to the executive officer’s base salary. In addition, the total variable compensation components (cash bonuses and equity-based compensation) may not exceed 60% for office holder which is not the CEO, or 70% for the CEO, of each executive officer’s total compensation package with respect to any given calendar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annual cash bonus may be awarded to senior management upon the attainment of pre-set periodic objectives and individual targets. The annual cash bonus that may be granted to our senior management other than our chief executive officer will be based on performance objectives and a discretionary evaluation of the executive officer’s overall performance by our chief executive officer and subject to minimum thresholds. The annual cash bonus that may be granted to senior management other than our chief executive officer may be based in a rate of up to 20% on a discretionary evaluation. Furthermore, our chief executive officer will be entitled to recommend performance objectives, and such performance objectives will be approved by our compensation committee (and, if required by law, by our board of directors).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 measurable objectives of our chief executive officer will be determined annually by our compensation committee and board of directors, will include the weight to be assigned to each achievement in the overall evaluation. A portion of up to 40% the chief executive officer’s annual cash bonus may be based on a discretionary evaluation of the chief executive officer’s overall performance by the compensation committee and the board of directors based on quantitative and qualitative criteria.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equity-based compensation under our compensation policy for our officers and directors is designed in a manner consistent with the underlying objectives in determining the base salary and the annual cash bonus, with its main objectives being to enhance the alignment between the officers’ and directors’ interests with our long-term interests and those of our shareholders, and to strengthen the retention and the motivation of senior management in the long term. Our compensation policy provides for officers and directors compensation in the form of stock options or other equity-based awards, such as restricted shares and restricted share units, in accordance with our Share Incentive Plan then in place. All equity-based incentives granted to officers and directors shall be subject to vesting periods in order to promote long-term retention of the awarded officer or director. The equity-based compensation shall be granted from time to time and be individually determined and awarded according to the performance, educational background, prior business experience, qualifications, role, and the personal responsibilities of the officer or director.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compensation policy contains compensation recovery provisions which allows us under certain conditions to recover bonuses paid in excess, enables our chief executive officer to approve an immaterial change in the terms of employment of an executive officer (provided that the changes of the terms of employment are in accordance our compensation policy) and allows us to exculpate, indemnify, and insure our senior management and directors subject to certain limitations set forth thereto.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policy also provides for compensation to the members of our board of directors (except for the chairman and such directors that are employed by, or provides services, directly or through companies in their control, to the Company in another role)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spacing w:after="0" w:line="277" w:lineRule="auto"/>
        <w:rPr>
          <w:sz w:val="20"/>
          <w:szCs w:val="20"/>
          <w:color w:val="auto"/>
        </w:rPr>
      </w:pPr>
      <w:r>
        <w:rPr>
          <w:rFonts w:ascii="Arial" w:cs="Arial" w:eastAsia="Arial" w:hAnsi="Arial"/>
          <w:sz w:val="18"/>
          <w:szCs w:val="18"/>
          <w:color w:val="auto"/>
        </w:rPr>
        <w:t>Our compensation policy was approved by our shareholders on September 6, 2018, and amendments thereto were approved by our shareholders on January 24, 2019 and on January 13, 2020.</w:t>
      </w:r>
    </w:p>
    <w:p>
      <w:pPr>
        <w:spacing w:after="0" w:line="16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 and Terms of Officers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of directors consists of seven (7) directors, including five (5) directors who qualify as “independent” under applicable U.S. securities laws and Nasdaq listing rules: Avner Hagai, Karen Sarid, Eti Mitrany, Yossi Ben Shalom, and Avner Lushi.</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articles of association, the number of directors on our board of directors will be not less than four (4) but no more than nine (9) directors, not including any external directors to the extent required to be appointed by the Israeli Companies Law, and not including up to two (2) additional directors who may be appointed by our board of directors whose term of office would expire on the first annual meeting of shareholders after their appointment, at which they may be re-elected by such general meeting subject to the total number of directors not exceeding nine (9).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articles of association, our board of directors may elect new directors if the number of directors is below the maximum provided in the articles of association, and the term of office of such elected directors shall be until the next general meeting of our shareholders.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Israeli law, the chief executive officer of a public company may not serve as the chairman of the board of directors of the company unless approved by a special majority of our shareholders as required under the Israeli Companies Law.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under the Israeli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skills,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should have at least two directors with the requisite financial and accounting expertise.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arrangements or understandings between us, on the one hand, and any of our directors, on the other hand, providing for benefits upon termination of their employment or service as directors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and External Directors - Israeli Companies Law Requirements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Israeli Companies Law, we would be required to include on our board of directors at least two members, each of whom qualifies as an external director, and as to whom special qualifications, voting requirements and other provisions would be applicable. We would also be required to include one such external director on each of our board committees.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regulations promulgated under the Israeli Companies Law, Israeli companies whose shares are traded on stock exchanges such as the Nasdaq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we comply with the requirements of the Nasdaq with respect to the composition of our board and such committees, and therefore we are exempt from the Israeli Companies Law requirements with respect thereto, including the appointment of external directors.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has established two standing committees, the audit committee (which serves also as our financial statements committee) and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Israeli Companies Law, the board of directors of any public company must also appoint an audit committee comprised of at least three directors, including all of the external directors (if any). The audit committee may not include:</w:t>
      </w:r>
    </w:p>
    <w:p>
      <w:pPr>
        <w:spacing w:after="0" w:line="17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chairman of the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controlling shareholder or a relative of a controlling shareholder;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director employed by us or by one of our controlling shareholders or by an entity controlled by our controlling shareholders (other than as a member of the board of directors);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director who regularly provides services to us, to one of our controlling shareholders or to an entity controlled by our controlling shareholders.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the Israeli Companies Law, the majority of the members of the audit committee, as well as the majority of members present at audit committee meetings, will be required to be “independent” (as defined below), and the chairman of the audit committee will be required to be an external director. Any persons disqualified from serving as a member of the audit committee may not be present at the audit committee meetings, unless the chairman of the audit committee has determined that such person is required to be present at the meeting or if such person qualifies under one of the exemptions of the Israeli Companies Law.</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“independent director” is defined under the Israeli Companies Law as an external director or a director who meets the following conditions, and who is appointed or classified as such according to the Israeli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regulations promulgated under the Israeli Companies Law, we comply with the requirements of Nasdaq with respect to the composition of our audit committee and compensation committee, and do not follow the Israeli Companies Law requirements with respect to the composition of such committees, such as those described above. See “Management—Our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Nasdaq corporate governance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consists of Karen Sarid, Eti Mitrany, and Avner Lushi. Karen Sarid serves as Chairperson of the committee. All members of our audit committee meet the requirements for financial literacy under the applicable rules and regulations of the SEC and the Nasdaq corporate governance rules. Our board of directors has determined that each of Karen Sarid, Eti Mitrany, and Avner Lushi is an audit committee financial expert as defined by SEC rules, and has the requisite financial experience as defined by the Nasdaq listing rules.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Each of the members of the audit committee is “independent” as such term is defined in Rule 10A-3(b)(1) under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Transactions with Related Parties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approval of the audit committee is required to effect specified actions and transactions with office holders and controlling shareholders and their relatives, or in which they have a personal interest. See “Management—Fiduciary Duties and Approval of Specified Related Party Transactions and Compensation under Israeli Law.” The audit committee may not approve an action or a transaction with a controlling shareholder or with an office holder unless at the time of approval the audit committee meets the composition requirements under the Israeli Companies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Charter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adopted an audit committee charter setting forth the responsibilities of the audit committee consistent with the rules of the SEC and the Nasdaq corporate governance rules, which include:</w:t>
      </w:r>
    </w:p>
    <w:p>
      <w:pPr>
        <w:spacing w:after="0" w:line="17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board of directors and shareholder ratification;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the independence, compensation, and performance of our independent auditors;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pre-approval of audit and non-audit services to be provided by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with management and our independent directors our financial statements prior to their submission to the SEC;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approval of certain transactions with office holders and controlling shareholders, as described below, and other related party transactions.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under the Israeli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Israeli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Israeli Companies Law and whether certain transactions with a controlling shareholder will be subject to a competitive procedure. The audit committee charter states that in fulfilling its role the committee is empowered to conduct or authorize investigations into any matters within its scope of responsibilities. A company whose audit committee’s composition also meets the requirements set for the composition of a compensation committee (as further detailed below) may have one committee acting as both audit and compensation committees.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Israeli Companies Law, public companies are required to appoint a compensation committee in accordance with the guidelines set forth thereunder.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must consist of at least three members. All of the external directors, if any, must serve on the committee and constitute a majority of its members. The chairperson of the compensation committee must be an external director, if any. The remaining members are not required to be external directors, but must be directors who qualify to serve as members of the audit committee (as described above).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jc w:val="both"/>
        <w:spacing w:after="0" w:line="275" w:lineRule="auto"/>
        <w:rPr>
          <w:sz w:val="20"/>
          <w:szCs w:val="20"/>
          <w:color w:val="auto"/>
        </w:rPr>
      </w:pPr>
      <w:r>
        <w:rPr>
          <w:rFonts w:ascii="Arial" w:cs="Arial" w:eastAsia="Arial" w:hAnsi="Arial"/>
          <w:sz w:val="17"/>
          <w:szCs w:val="17"/>
          <w:color w:val="auto"/>
        </w:rPr>
        <w:t>The compensation committee, which consists of Eti Mitrany, Avner Hagai, and Karen Sarid, assists the board of directors in determining compensation for our directors and officers. Eti Mitrany serves as Chairperson of the committee. Under SEC and Nasdaq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expected compensation committee members meet this heightened standard.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Israeli Companies Law, the roles of the compensation committee are, among others, as follows:</w:t>
      </w:r>
    </w:p>
    <w:p>
      <w:pPr>
        <w:spacing w:after="0" w:line="225" w:lineRule="exact"/>
        <w:rPr>
          <w:sz w:val="20"/>
          <w:szCs w:val="20"/>
          <w:color w:val="auto"/>
        </w:rPr>
      </w:pPr>
    </w:p>
    <w:p>
      <w:pPr>
        <w:ind w:left="6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recommend to the board of directors updates to the compensation policy, from time to time, and examine its implementation;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decide whether to approve the terms of office, and employment of directors and officers that require approval of the compensation committee;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roles mentioned above our compensation committee also makes recommendations to our board of directors regarding the awarding of employee equity grants.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our compensation committee is entitled to agree to prior notice periods for resignation or dismissal within the context of certain acceleration events, and to agree to up to 12 months full payment of the compensation package and fringe benefits, upon termination by us of an engagement with an officer or an employee outside of Israel. These authorities are intended to allow more flexibility when hiring executives outside Israel, with a view to support our commitment to a strategic transition to US-based leadership.</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regulations promulgated under the Israeli Companies Law, we comply with the requirements of the Nasdaq with respect to the composition of our audit committee and compensation committee, and do not follow the Israeli Companies Law requirements with respect to the composition of such committees, such as those described above. See “Management—Our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Stock Market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members, all of whom are independent and are financially literate and one of whom has accounting or related financial management expertise.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independence requirements of Rule 10A-3 of the Exchange Act implement two basic criteria for determining independence:</w:t>
      </w:r>
    </w:p>
    <w:p>
      <w:pPr>
        <w:spacing w:after="0" w:line="225" w:lineRule="exact"/>
        <w:rPr>
          <w:sz w:val="20"/>
          <w:szCs w:val="20"/>
          <w:color w:val="auto"/>
        </w:rPr>
      </w:pPr>
    </w:p>
    <w:p>
      <w:pPr>
        <w:ind w:left="66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audit committee members are barred from accepting directly or indirectly any consulting, advisory or other compensatory fee from the issuer or an affiliate of the issuer, other than in the member’s capacity as a member of the board of directors and any board committee; and</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audit committee members may not be an “affiliated person” of the issuer or any subsidiary of the issuer apart from her or his capacity as a member of the board of directors and any board committee.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6" w:name="page107"/>
    <w:bookmarkEnd w:id="106"/>
    <w:p>
      <w:pPr>
        <w:jc w:val="both"/>
        <w:spacing w:after="0" w:line="275" w:lineRule="auto"/>
        <w:rPr>
          <w:sz w:val="20"/>
          <w:szCs w:val="20"/>
          <w:color w:val="auto"/>
        </w:rPr>
      </w:pPr>
      <w:r>
        <w:rPr>
          <w:rFonts w:ascii="Arial" w:cs="Arial" w:eastAsia="Arial" w:hAnsi="Arial"/>
          <w:sz w:val="17"/>
          <w:szCs w:val="17"/>
          <w:color w:val="auto"/>
        </w:rPr>
        <w:t>The SEC has defined “affiliate” for non-investment companies as “a person that directly, or indirectly through one or more intermediaries, controls, or is controlled by, or is under common control with, the person specified.” The term “control” is intended to be consistent with the other definitions of this term under the Exchange Act, as “the possession, direct or indirect, of the power to direct or cause the direction of the management and policies of a person, whether through the ownership of voting securities, by contract, or otherwise.” A safe harbor has been adopted by the SEC, under which a person who is not an executive officer or 10% shareholder of the issuer would be deemed not to have control of the issuer.</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the Sarbanes-Oxley Act of 2002 and the Nasdaq Listing Rules, the audit committee is directly responsible for the appointment, compensation, and performance of our independent auditors. In addition, the audit committee is responsible for assisting the board of directors in reviewing our annual financial statements, the adequacy of our internal control and our compliance with legal and regulatory requirements. The audit committee also oversees our major financial risk exposures and policies for managing such potential risks, discusses with management and our independent auditor significant risks or exposure and assesses the steps management has taken to minimize such risk.</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above, the members of our audit committee include Karen Sarid, Eti Mitrany, and Avner Lushi, with Karen Sarid serving as chairperson. All members of our audit committee meet the requirements for financial literacy under the Nasdaq Listing Rules. Our board of directors has determined that each of Karen Sarid, Eti Mitrany, and Avner Lushi is an audit committee financial expert as defined by the SEC rules and all members of the audit committee have the requisite financial experience as defined by the Nasdaq Listing Rules. Each of the members of the audit committee is “independent” as such term is defined in Rule 10A-3(b)(1) under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Under the Israeli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Israeli Companies Law, the internal auditor may not be an interested party or an office holder or a relative of an interested party or of an office holder, nor may the internal auditor be the company’s independent auditor or the representative of the same.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 “interested party” is defined in the Israeli Companies Law as (i) a holder of 5% or more of the issued share capital or voting power in a company,</w:t>
      </w:r>
    </w:p>
    <w:p>
      <w:pPr>
        <w:spacing w:after="0" w:line="35" w:lineRule="exact"/>
        <w:rPr>
          <w:sz w:val="20"/>
          <w:szCs w:val="20"/>
          <w:color w:val="auto"/>
        </w:rPr>
      </w:pPr>
    </w:p>
    <w:p>
      <w:pPr>
        <w:jc w:val="both"/>
        <w:ind w:firstLine="8"/>
        <w:spacing w:after="0" w:line="255" w:lineRule="auto"/>
        <w:tabs>
          <w:tab w:leader="none" w:pos="2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person or entity who has the right to designate one or more directors or to designate the chief executive officer of the company, or (iii) any person who serves as a director or as a chief executive officer of the company. Mr. Yisrael Gewirtz of Fahn Kanne Control Management Ltd. (Grant Thornton Israel) serves as our internal auditor.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 and Officers and Approval of Specified Related Party Transactions under the Israeli Companies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and Duty of Care of Office Holders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Israeli Companies Law imposes a duty of care and a fiduciary duty on all office holders of a company. 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information on the business advisability of a given action brought for his or her approval or performed by virtue of his or her position;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ind w:right="20"/>
        <w:spacing w:after="0" w:line="277" w:lineRule="auto"/>
        <w:rPr>
          <w:sz w:val="20"/>
          <w:szCs w:val="20"/>
          <w:color w:val="auto"/>
        </w:rPr>
      </w:pPr>
      <w:r>
        <w:rPr>
          <w:rFonts w:ascii="Arial" w:cs="Arial" w:eastAsia="Arial" w:hAnsi="Arial"/>
          <w:sz w:val="18"/>
          <w:szCs w:val="18"/>
          <w:color w:val="auto"/>
        </w:rPr>
        <w:t>The fiduciary duty incumbent on an office holder requires him or her to act in good faith and for the benefit of the company, and includes, among other things, the duty to:</w:t>
      </w:r>
    </w:p>
    <w:p>
      <w:pPr>
        <w:spacing w:after="0" w:line="170" w:lineRule="exact"/>
        <w:rPr>
          <w:sz w:val="20"/>
          <w:szCs w:val="20"/>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or her duties in the company and his or her other duties or personal affairs;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or herself or others;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including any material fact or document, a reasonable time before consideration of the approval of such act. Any such approval is subject to the terms of the Israeli Companies Law, setting forth, among other things, the appropriate bodies of the company entitled to provide such approval, and the methods of obtaining such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Israeli Companies Law requires that an office holder disclose to the company without delay any personal interest that he or she may have and all related material information or documents relating to any existing or proposed transaction by the company. An interested office holder’s disclosure must be made without delay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Israeli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Israeli Companies Law, unless the articles of association of a company provide otherwise, a transaction with an office holder or with a third party in which the office holder has a personal interest, which is not an extraordinary transaction, requires approval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senior management, see “Management—Disclosure of Compensation of Directors and Senior Management.”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persons who have a personal interest in the approval of a transaction that is brought before a meeting of the board of directors or the audit committee, except for a transaction with an office holder or with a third party in which the office holder has a personal interest, which is not an extraordinary transaction,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jc w:val="both"/>
        <w:spacing w:after="0" w:line="254" w:lineRule="auto"/>
        <w:rPr>
          <w:sz w:val="20"/>
          <w:szCs w:val="20"/>
          <w:color w:val="auto"/>
        </w:rPr>
      </w:pPr>
      <w:r>
        <w:rPr>
          <w:rFonts w:ascii="Arial" w:cs="Arial" w:eastAsia="Arial" w:hAnsi="Arial"/>
          <w:sz w:val="18"/>
          <w:szCs w:val="18"/>
          <w:color w:val="auto"/>
        </w:rPr>
        <w:t>A “personal interest” is defined under the Israeli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 “extraordinary transaction” is defined under the Israeli Companies Law as any of the following:</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the company’s profitability,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Israeli Companies Law also requires that a controlling shareholder disclose to the company without delay any personal interest that he or she may have and all related material information or documents relating to any existing or proposed transaction by the company. A controlling shareholder’s disclosure must be made without delay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94" w:lineRule="exact"/>
        <w:rPr>
          <w:sz w:val="20"/>
          <w:szCs w:val="20"/>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two percent (2%) of the voting rights in the company.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 every three years; however, transactions not involving the receipt of services or compensation can be approved for a longer term, provided that the audit committee determines that such longer term is reasonable under the circumstances. In addition, transactions with a controlling shareholder or a controlling shareholder’s relative who serves as an officer in a company, directly or indirectly (including through a corporation under his control), involving the receipt of services by a company or their compensation can have a term of five years from the company’s initial public offering under certain circumstances.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Israeli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Duties of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Israeli Companies Law, a shareholder has a duty to act in good faith and in an acceptable manner in exercising its rights and performing its obligations towards the company, and other shareholders and to refrain from abusing its power in the company, including, among other things, when voting at meetings of shareholders on the following matters:</w:t>
      </w:r>
    </w:p>
    <w:p>
      <w:pPr>
        <w:spacing w:after="0" w:line="184"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amendment to the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in the company’s authorized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right="3300" w:firstLine="332"/>
        <w:spacing w:after="0" w:line="530" w:lineRule="auto"/>
        <w:tabs>
          <w:tab w:leader="none" w:pos="6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any controlling shareholder, any shareholder that knows that its vote can determine the outcome of a shareholder vote (including in a class meeting), and any shareholder that, under a company’s articles of association, has the power to appoint or prevent the appointment of an office holder, or any other power with respect to a company, is under a duty to act with fairness towards the company. The Israeli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Private Placements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Israeli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“Description of Share Capital—Acquisitions under Israeli Law”) or a private placement which qualifies as a related party transaction (see “Management—Fiduciary Duties and Approval of Specified Related Party Transactions and Compensation under Israeli Law”), approval at a general meeting of the shareholders of a company is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fiduciary duty. An Israeli company may exculpate an office holder in advance from liability to the company, in whole or in part, for damages caused to the company as a result of a breach of the office holder’s duty of care but only if a provision authorizing such exculpation is included in its articles of association. Our articles of association include such a provision. A company may not exculpate in advance a director from liability arising due to the breach of his or her duty of care in connection with dividend or distribution to shareholders.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Israeli Companies Law and the Israeli Securities Law, 5728-1968 (the “Israeli Securities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spacing w:after="0" w:line="184" w:lineRule="exact"/>
        <w:rPr>
          <w:sz w:val="20"/>
          <w:szCs w:val="20"/>
          <w:color w:val="auto"/>
        </w:rPr>
      </w:pPr>
    </w:p>
    <w:p>
      <w:pPr>
        <w:jc w:val="both"/>
        <w:ind w:left="660" w:hanging="328"/>
        <w:spacing w:after="0" w:line="255"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0" w:name="page111"/>
    <w:bookmarkEnd w:id="110"/>
    <w:p>
      <w:pPr>
        <w:jc w:val="both"/>
        <w:ind w:left="660" w:hanging="328"/>
        <w:spacing w:after="0" w:line="25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payment for a breach offended at an Administrative Procedure (as defined below) as set forth in Section 52(54)(a)(1)(a) to the Israeli Securities Law;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expended by the office holder with respect to an Administrative Procedure under the Israeli Securities Law, including reasonable litigation expenses and reasonable attorneys’ fees;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which were imposed on the office holder by a court (i)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 and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applicable law to indemnify an office holder, including, without limitation, matters referenced in Section 56H(b)(1) of the Israeli Securities Law.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Israeli Securities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Under the Israeli Companies Law and the Israeli Securities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breach of the fiduciary duty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third party;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an injured party at an Administrative Procedure pursuant to Section 52(54)(a)(1)(a) of the Israeli Securities Law;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by an office holder in connection with an Administrative Procedure, including reasonable litigation expenses and reasonable attorneys’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breach of the fiduciary duty, except for indemnification and insurance for a breach of the fiduciary duty to the company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solely arising out of the negligent conduct of the office holder;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fine, civil fine, financial sanction or forfeit levied against the office 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Israeli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of association permit us to exculpate, indemnify, and insure our office holders to the fullest extent permitted or to be permitted by law. Our office holders are currently covered by a directors’ and officers’ liability insurance policy. As of the date of this report,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18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employees include professionals with extensive experience in medical device development and applications, neurology and psychopathology, pre-clinical experimentation, clinical development, and business development.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2020, we had 100 employees, of which 42 are based in the United States and 58 are based outside of the United States (in Israel). This includes 26 employees in sales and marketing (including 24 in the United States), and 26 employees in clinical trials and research and development.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c>
          <w:tcPr>
            <w:tcW w:w="13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05"/>
        </w:trPr>
        <w:tc>
          <w:tcPr>
            <w:tcW w:w="6980" w:type="dxa"/>
            <w:vAlign w:val="bottom"/>
          </w:tcPr>
          <w:p>
            <w:pPr>
              <w:spacing w:after="0"/>
              <w:rPr>
                <w:sz w:val="17"/>
                <w:szCs w:val="17"/>
                <w:color w:val="auto"/>
              </w:rPr>
            </w:pPr>
          </w:p>
        </w:tc>
        <w:tc>
          <w:tcPr>
            <w:tcW w:w="1260" w:type="dxa"/>
            <w:vAlign w:val="bottom"/>
            <w:tcBorders>
              <w:top w:val="single" w:sz="8" w:color="auto"/>
            </w:tcBorders>
          </w:tcPr>
          <w:p>
            <w:pPr>
              <w:jc w:val="center"/>
              <w:ind w:left="50"/>
              <w:spacing w:after="0" w:line="205" w:lineRule="exact"/>
              <w:rPr>
                <w:sz w:val="20"/>
                <w:szCs w:val="20"/>
                <w:color w:val="auto"/>
              </w:rPr>
            </w:pPr>
            <w:r>
              <w:rPr>
                <w:rFonts w:ascii="Arial" w:cs="Arial" w:eastAsia="Arial" w:hAnsi="Arial"/>
                <w:sz w:val="18"/>
                <w:szCs w:val="18"/>
                <w:b w:val="1"/>
                <w:bCs w:val="1"/>
                <w:color w:val="auto"/>
                <w:w w:val="92"/>
              </w:rPr>
              <w:t>Company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auto"/>
            </w:tcBorders>
          </w:tcPr>
          <w:p>
            <w:pPr>
              <w:jc w:val="center"/>
              <w:ind w:left="30"/>
              <w:spacing w:after="0" w:line="205" w:lineRule="exact"/>
              <w:rPr>
                <w:sz w:val="20"/>
                <w:szCs w:val="20"/>
                <w:color w:val="auto"/>
              </w:rPr>
            </w:pPr>
            <w:r>
              <w:rPr>
                <w:rFonts w:ascii="Arial" w:cs="Arial" w:eastAsia="Arial" w:hAnsi="Arial"/>
                <w:sz w:val="18"/>
                <w:szCs w:val="18"/>
                <w:b w:val="1"/>
                <w:bCs w:val="1"/>
                <w:color w:val="auto"/>
                <w:w w:val="90"/>
              </w:rPr>
              <w:t>Company</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ind w:left="10"/>
              <w:spacing w:after="0" w:line="205" w:lineRule="exact"/>
              <w:rPr>
                <w:sz w:val="20"/>
                <w:szCs w:val="20"/>
                <w:color w:val="auto"/>
              </w:rPr>
            </w:pPr>
            <w:r>
              <w:rPr>
                <w:rFonts w:ascii="Arial" w:cs="Arial" w:eastAsia="Arial" w:hAnsi="Arial"/>
                <w:sz w:val="18"/>
                <w:szCs w:val="18"/>
                <w:b w:val="1"/>
                <w:bCs w:val="1"/>
                <w:color w:val="auto"/>
                <w:w w:val="90"/>
              </w:rPr>
              <w:t>Company</w:t>
            </w:r>
          </w:p>
        </w:tc>
        <w:tc>
          <w:tcPr>
            <w:tcW w:w="100" w:type="dxa"/>
            <w:vAlign w:val="bottom"/>
          </w:tcPr>
          <w:p>
            <w:pPr>
              <w:spacing w:after="0"/>
              <w:rPr>
                <w:sz w:val="17"/>
                <w:szCs w:val="17"/>
                <w:color w:val="auto"/>
              </w:rPr>
            </w:pPr>
          </w:p>
        </w:tc>
      </w:tr>
      <w:tr>
        <w:trPr>
          <w:trHeight w:val="234"/>
        </w:trPr>
        <w:tc>
          <w:tcPr>
            <w:tcW w:w="698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Employees</w:t>
            </w:r>
          </w:p>
        </w:tc>
        <w:tc>
          <w:tcPr>
            <w:tcW w:w="14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Employees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Employees</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administration, and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79"/>
              </w:rPr>
              <w:t>49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580" w:type="dxa"/>
            <w:vAlign w:val="bottom"/>
            <w:gridSpan w:val="3"/>
          </w:tcPr>
          <w:p>
            <w:pPr>
              <w:ind w:left="118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5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never experienced any employment-related work stoppages and believe our relationship with our employees is good.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2" w:name="page113"/>
    <w:bookmarkEnd w:id="112"/>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the share ownership of our directors and executive officers, please see “Item 7.A.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2014, we adopted the Share Incentive Plan, as amended from time to time, or the Plan. The Plan is intended to afford an incentive to our and any of our affiliate’s employees, directors, officers, consultants, advisors, and any other person or entity who provides services to the Company, its subsidiaries and affiliates, to continue as service providers, to increase their efforts on our and our affiliates behalf and to promote our success, by providing such persons with opportunities to acquire a proprietary interest in us.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26, 2019 we adopted the BrainsWay Ltd. Amended and Restated 2019 Share Incentive Plan, which was approved by our shareholders on January 13, 2020. The Plan supersedes and replaces the original BrainsWay 2014 Share Incentive Plan and provides for the granting of ordinary shares, American Depositary Shares, stock options under various tax regimes in Israel and the U.S., restricted shares, restricted share units, and other share-based awards to employees, officers, directors, and/or other service providers, including advisors of the Company, and/or of its subsidiaries, and/or affiliated companies of the Company. The same number of our ordinary shares are available for issuance as awards under the 2019 as were available under the 2014 plan as of the effective date of the 2019 plan, and the 2014 plan continues to govern the terms of awards issued thereunder prior to the effective date of the 2019 plan.</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Plan, as amended and restated, we may issue options to purchase up to 3,626,200 of our ordinary shares. As of December 31, 2020, options to purchase 1,522,975 ordinary shares, at a weighted average exercise price of $7.4 per share, were outstanding. The option pool under the Plan is subject to adjustment if particular capital changes affect our share capital or such other number as our board of directors may determine from time to time. Ordinary shares subject to outstanding awards under the Plan that subsequently expire, are cancelled, forfeited, repurchased or terminated for any reason before being exercised will be automatically, and without any further action, returned to the “pool” of reserved shares and will again be available for grant under the Plan.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26, 2021 our Board of Directors, and on March 4, 2021 our shareholders (with respect to the directors), respectively, approved an exchange offer to all our employees, consultants, and independent directors who are eligible holders for such exchange offer, to incentivize our officers, independent Board members, employees and, consultants to continue to contribute to the Company's success and results of operations. Under the contemplated Exchange Offer, each eligible holder will have the opportunity to exchange the existing options held by such holder with new options with an exercise price of $4.675, being a price equal to the closing price per Ordinary Share on January 25th, 2021 (the closing price of the last trading day prior to our Board’s approval) (except for eligible holders that are subject to US tax rules and regulations, for which the exercise price will be the higher of $4.675 ($9.35 per ADS) and the price per ordinary share on the last date before the exchange offer is filed), all other terms of the options, including the number of options, vesting schedule, and term shall remain unchanged. The eligible holders are expected to be those employees, consultants, and independent directors who, on the date the exchange offer commences, are employed by the Company, are providing services to the Company or are independent directors of the Company; and on or prior to the expiration time of such Exchange Offer, continue to be employed by the Company or otherwise provide services to the Company.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option pool under the Plan is subject to adjustment if particular capital changes affect our share capital or such other number as our board of directors may determine from time to time. Ordinary shares subject to outstanding awards under the Plan that subsequently expire, are cancelled, forfeited, repurchased or terminated for any reason before being exercised will be automatically, and without any further action, returned to the “pool” of reserved shares and will again be available for grant under the Plan.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stock option is the right to purchase a specified number of ordinary shares in the future at a specified exercise price and subject to the other terms and conditions specified in the option agreement and the Plan. The exercise price of each stock option granted under the Plan will be determined in accordance with the limitations set forth under the Plan. The exercise price of any stock options granted under the Plan may be paid in cash, through “cashless exercise” mechanism or any other method that may be approved by our compensation committee, which may include procedures for cashless exercise.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compensation committee may also grant, or recommend that our board of directors' grant, other forms of equity incentive awards under the Plan, such as restricted shares, restricted share units, and other forms of share-based compensation.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2020, as part of his employment agreement with the Company, we committed to grant 240,000 restricted stock units (“RSUs”) to Mr. von Jako, our President and CEO, of which 60,000 RSUs have been granted on January 1, 2020, and 180,000 RSUs have been committed to be granted in three future grants of 60,000 RSUs upon each anniversary of the employment start date of Mr. von Jako with the Company, subject to certain criteria. At the Annual General Meeting of the Company's Shareholders held on March 4, 2021, our shareholders approved an acceleration of the grant date of the remaining 180,000 RSUs to the date of such approval. The RSUs are subject to a vesting schedule of four years beginning on their respective date of grant, with the first 25% said RSUs vesting 12 months after the date grant, and the remaining 75% of the RSUs vesting in 12 equal portions – each upon the last day of every three month period thereafter until the grant is fully vested. The vesting of the RSUs is subject to Mr. von Jako's continued employment with the Company at the time of each such scheduled vesting, and the RSUs are subject to the terms of our 2019 Award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spacing w:after="0" w:line="269" w:lineRule="auto"/>
        <w:rPr>
          <w:sz w:val="20"/>
          <w:szCs w:val="20"/>
          <w:color w:val="auto"/>
        </w:rPr>
      </w:pPr>
      <w:r>
        <w:rPr>
          <w:rFonts w:ascii="Arial" w:cs="Arial" w:eastAsia="Arial" w:hAnsi="Arial"/>
          <w:sz w:val="17"/>
          <w:szCs w:val="17"/>
          <w:color w:val="auto"/>
        </w:rPr>
        <w:t>Israeli participants in the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(and in certain cases also non-Israeli residents for the time they worked in Israel) to receive favorable tax treatment for compensation in the form of shares or options. Our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Commonly, the most favorable tax treatment for the grantees is under Section 102(b)(2) of the Israeli Tax Ordinance, the issuance to a trustee under the “capital gain track.” However, under this track we are not allowed to deduct an expense with respect to the issuance of the options or shares. Any options granted under the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compensation committee administers the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Plan, our board of directors may, subject to any legal limitations, exercise any powers or duties of the compensation committee or any other committee concerning the Plan. The compensation committee will, among others, select which eligible persons will receive options or other awards under the Plan and will determine, or recommend to our board of directors, the number of ordinary shares covered by those options or other awards, the terms under which such options or other awards may be exercised (however, vested options generally may not be exercised later than ten years from the grant date of an option and a lesser period if the grantee ceased to be employed by, or provide services to, the company) or may be settled or paid, and the other terms and conditions of such options and other awards under the Plan. All awards granted under the Plan shall not be transferable other than by will or by the laws of descent and distribution, unless otherwise determined by our compensation committee.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particular limitations specified in the Plan and under applicable law, our board of directors may amend or terminate the Plan, and the compensation committee may amend awards outstanding under the Plan. In addition, an amendment to the Plan that requires shareholder approval under applicable law will not be effective unless approved by the requisite vote of shareholders. In addition, in general, no suspension, termination, modification or amendment of the Plan may adversely affect any award previously granted without the written consent of grantees holding a majority in interest of the awards so affected. The Plan will continue in effect until all ordinary shares available under the Plan are delivered and all restrictions on those shares have lapsed, unless the Plan is terminated earlier by our board of directors. No awards may be granted under the Plan on or after the tenth anniversary of the date of adoption of the plan unless our board of directors chooses to extend the term.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equity award to an office holder, director or controlling shareholder, whether under the Plan or otherwise, may be subject to further approvals in addition to the approval of the compensation committee as described above. See “Management—Fiduciary Duties and Approval of Specified Related Party Transactions and Compensation under Israeli Law.”</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1000" w:hanging="641"/>
        <w:spacing w:after="0"/>
        <w:tabs>
          <w:tab w:leader="none" w:pos="10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April 19, 2021 by:</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directors and members of senior management who are among our five highest compensated directors and officers, or our Named Directors and Officers;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directors and members of senior management as a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that are currently exercisable or exercisable within 60 days of April 19, 2021, if any,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is based on 32,899,884 ordinary shares outstanding as of April 19, 2021.</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19, 2021, there was one shareholder of record of our ordinary shares. The number of record holders is not representative of the number of beneficial holders of our ordinary shares, as the shares of all our shareholders who hold ordinary shares that are traded on the TASE are recorded in the name of our Israeli share registrar, Registration Co. of United Mizrahi Bank Ltd. As of April 19, 2021, there were 68 U.S. persons that were holders of record of our ADSs.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noted below, the address for each beneficial owner is c/o BrainsWay Ltd., 19 Hartum Street, Bynet Building 3rd Floor, Har HaHotzvim, Jerusalem, 9777518, Israel.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2980" w:type="dxa"/>
            <w:vAlign w:val="bottom"/>
          </w:tcPr>
          <w:p>
            <w:pPr>
              <w:spacing w:after="0"/>
              <w:rPr>
                <w:sz w:val="19"/>
                <w:szCs w:val="19"/>
                <w:color w:val="auto"/>
              </w:rPr>
            </w:pPr>
          </w:p>
        </w:tc>
        <w:tc>
          <w:tcPr>
            <w:tcW w:w="1660" w:type="dxa"/>
            <w:vAlign w:val="bottom"/>
            <w:gridSpan w:val="2"/>
          </w:tcPr>
          <w:p>
            <w:pPr>
              <w:ind w:left="440"/>
              <w:spacing w:after="0"/>
              <w:rPr>
                <w:sz w:val="20"/>
                <w:szCs w:val="20"/>
                <w:color w:val="auto"/>
              </w:rPr>
            </w:pPr>
            <w:r>
              <w:rPr>
                <w:rFonts w:ascii="Arial" w:cs="Arial" w:eastAsia="Arial" w:hAnsi="Arial"/>
                <w:sz w:val="18"/>
                <w:szCs w:val="18"/>
                <w:b w:val="1"/>
                <w:bCs w:val="1"/>
                <w:color w:val="auto"/>
              </w:rPr>
              <w:t>Number</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2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Arial" w:cs="Arial" w:eastAsia="Arial" w:hAnsi="Arial"/>
                <w:sz w:val="18"/>
                <w:szCs w:val="18"/>
                <w:color w:val="auto"/>
              </w:rPr>
              <w:t>The Phoenix Provident Funds(1)</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3,216,200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RTW Funds(2)</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3,116,948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Dr. David Zacut (3)</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1,786,357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Avner Hagai(3)</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1,741,378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Halman Aldubi Provident and Pension Funds Ltd.(4)</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1,496,209</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Dr. Yiftach Roth</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1,083,390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Prof. Avraham Zangen(5)</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940,000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Named Directors and Officers</w:t>
            </w: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Christopher von Jako(6)</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53,750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Hadar Levy(7)</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317,467</w:t>
            </w: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Amit Ginou(8)</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87,667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Moria Ankri(9)</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43,388</w:t>
            </w: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Karen Sarid (10)</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20,625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Yossi Ben Shalom (11)</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Avner Lushi (12)</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Eti Mitrany (13)</w:t>
            </w:r>
          </w:p>
        </w:tc>
        <w:tc>
          <w:tcPr>
            <w:tcW w:w="4520" w:type="dxa"/>
            <w:vAlign w:val="bottom"/>
            <w:gridSpan w:val="2"/>
          </w:tcPr>
          <w:p>
            <w:pPr>
              <w:jc w:val="right"/>
              <w:ind w:right="10"/>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5"/>
              </w:rPr>
              <w:t>All directors and members of senior management as a group</w:t>
            </w:r>
          </w:p>
        </w:tc>
        <w:tc>
          <w:tcPr>
            <w:tcW w:w="4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6,099,230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648"/>
        </w:trPr>
        <w:tc>
          <w:tcPr>
            <w:tcW w:w="5000" w:type="dxa"/>
            <w:vAlign w:val="bottom"/>
          </w:tcPr>
          <w:p>
            <w:pPr>
              <w:spacing w:after="0"/>
              <w:rPr>
                <w:sz w:val="24"/>
                <w:szCs w:val="24"/>
                <w:color w:val="auto"/>
              </w:rPr>
            </w:pPr>
          </w:p>
        </w:tc>
        <w:tc>
          <w:tcPr>
            <w:tcW w:w="2980" w:type="dxa"/>
            <w:vAlign w:val="bottom"/>
          </w:tcPr>
          <w:p>
            <w:pPr>
              <w:jc w:val="right"/>
              <w:ind w:right="2130"/>
              <w:spacing w:after="0"/>
              <w:rPr>
                <w:sz w:val="20"/>
                <w:szCs w:val="20"/>
                <w:color w:val="auto"/>
              </w:rPr>
            </w:pPr>
            <w:r>
              <w:rPr>
                <w:rFonts w:ascii="Arial" w:cs="Arial" w:eastAsia="Arial" w:hAnsi="Arial"/>
                <w:sz w:val="18"/>
                <w:szCs w:val="18"/>
                <w:color w:val="auto"/>
              </w:rPr>
              <w:t>108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00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15" w:name="page116"/>
    <w:bookmarkEnd w:id="115"/>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jc w:val="both"/>
        <w:ind w:left="340" w:hanging="332"/>
        <w:spacing w:after="0" w:line="267"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shares are beneficially owned by various direct or indirect, majority or wholly-owned subsidiaries of the Phoenix Holding Ltd. (the “Phoenix Provident Funds”). The Phoenix Provident Funds manage their own funds and/or the funds of others, including for holders of exchange-traded notes or various insurance policies, members of pension or provident funds, unit holders of mutual funds, and portfolio management clients. Each of the Phoenix Provident Funds operates under independent management and makes its own independent voting and investment decisions. The Phoenix Holding Ltd. is a controlled subsidiary of Delek Group Ltd. The majority of Delek Group Ltd.’s outstanding share capital and voting rights are owned, directly and indirectly, by Itshak Sharon (Tshuva) through private companies wholly-owned by him, and the remainder is held by the public. The address of the Phoenix Provident Funds is HaShalom Road 53 Giv’atayim, 5345433, Israel.</w:t>
      </w:r>
    </w:p>
    <w:p>
      <w:pPr>
        <w:spacing w:after="0" w:line="4" w:lineRule="exact"/>
        <w:rPr>
          <w:rFonts w:ascii="Arial" w:cs="Arial" w:eastAsia="Arial" w:hAnsi="Arial"/>
          <w:sz w:val="17"/>
          <w:szCs w:val="17"/>
          <w:color w:val="auto"/>
        </w:rPr>
      </w:pPr>
    </w:p>
    <w:p>
      <w:pPr>
        <w:jc w:val="both"/>
        <w:ind w:left="340" w:hanging="332"/>
        <w:spacing w:after="0" w:line="22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shares are held by RTW Master Fund, Ltd., one or more private funds (together the “Funds”) managed by RTW Investments, LP (the “Adviser”), and Roderick Wong. The Adviser, in its capacity as the investment manager of the Funds, has the power to vote and the power to direct the disposition of all Shares held by the Funds. Roderick Wong is the Managing Partner of the Adviser. The address of RTW Master Fund, Ltd. is 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Floor 9, New York, New York 10011.</w:t>
      </w:r>
    </w:p>
    <w:p>
      <w:pPr>
        <w:spacing w:after="0" w:line="3" w:lineRule="exact"/>
        <w:rPr>
          <w:rFonts w:ascii="Arial" w:cs="Arial" w:eastAsia="Arial" w:hAnsi="Arial"/>
          <w:sz w:val="18"/>
          <w:szCs w:val="18"/>
          <w:color w:val="auto"/>
        </w:rPr>
      </w:pPr>
    </w:p>
    <w:p>
      <w:pPr>
        <w:ind w:left="340" w:right="20" w:hanging="332"/>
        <w:spacing w:after="0" w:line="24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consists of shares held directly by the named beneficial owner as well as shares held by family members or affiliates of the named beneficial owner.</w:t>
      </w: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address of Halman Aldubi Provident and Pension Funds Ltd. is 26 Harokmim Street, Holon, Israel.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address of Prof. Avraham Zangen is Mish’ol HaHadas 23, Jerusalem, Israel.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53,750 Ordinary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16,800 Ordinary Shares and options to purchase 300,667 ordinary shares currently exercisable or exercisable within 60 days.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options to purchase 87,167 ordinary shares currently exercisable or exercisable within 60 days.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1,388 Ordinary Shares and options to purchase 42,000 ordinary shares currently exercisable or exercisable within 60 days.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options to purchase 20,625 ordinary shares currently exercisable or exercisable within 60 days.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options to purchase 13,750 ordinary shares currently exercisable or exercisable within 60 days.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options to purchase 6,875 ordinary shares currently exercisable or exercisable within 60 days.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options to purchase 4,583 ordinary shares currently exercisable or exercisable within 60 days.</w:t>
      </w:r>
    </w:p>
    <w:p>
      <w:pPr>
        <w:spacing w:after="0" w:line="207"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entered into written employment agreements with each member of our senior management.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“Risk Factors—Risks Related to Employee Matters—Under applicable employment laws, we may not be able to enforce covenants not to compete.”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 with Prof. Avraham Zangen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 consulting agreement with Prof. Avraham Zangen, our scientific founder and greater than 5% shareholder, under which Prof. Zangen provides advisory services to us in the field of neurobiology. This agreement provides for a notice period of 180 days for termination of the agreement by Prof. Zangen and 30 days for termination of the agreement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directors and members of senior management are participants in our Share Incentive Plan, pursuant to which they receive from time to time grants of options to purchase our ordinary shares. For more information, see “Management—Share Incentive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spacing w:after="0" w:line="342" w:lineRule="auto"/>
        <w:rPr>
          <w:sz w:val="20"/>
          <w:szCs w:val="20"/>
          <w:color w:val="auto"/>
        </w:rPr>
      </w:pPr>
      <w:r>
        <w:rPr>
          <w:rFonts w:ascii="Arial" w:cs="Arial" w:eastAsia="Arial" w:hAnsi="Arial"/>
          <w:sz w:val="16"/>
          <w:szCs w:val="16"/>
          <w:color w:val="auto"/>
        </w:rPr>
        <w:t>Since January 1, 2016, we granted options to purchase 1,426,362 ordinary shares to employees and directors, with a weighted average exercise price of approximately $6.3 per share, or approximately NIS 21.90 per share (based on the exchange rate reported by the Bank of Israel on December 31, 2020).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26, 2021 and on March 4, 2021 our Board of Directors and our shareholders (with respect to the directors), respectively, approved an exchange offer to all our employees, consultants, and independent directors who are eligible holders for such exchange offer, to incentivize our officers, independent Board members, employees and, consultants to continue to contribute to the Company's success and results of operations. Under the contemplated Exchange Offer, each eligible holder will have the opportunity to exchange the existing options held by such holder with new options with an exercise price of $4.675 ($9.35 per ADS), being a price equal to the closing price per Ordinary Share on January 25th, 2021 (the closing price of the last trading day prior to our Board’s approval), all other terms of the options, including the number of options, vesting schedule, and term shall remain unchanged. The eligible holders are expected to be those employees, consultants, and independent directors who on the date the Exchange Offer commences, are employed by the Company, are consultants to the Company or are independent directors of the Company; and on or prior to the expiration time of such Exchange Offer, continue to be employed by the Company or otherwise provide services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Officers Insurance Policy and Indemnification Agreements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articles of association permit us to exculpate, indemnify, and insure each of our directors and officers to the fullest extent permitted by the Israeli Companies Law. We have obtained directors and officers insurance for each of our senior management and directors.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provided an undertaking to our directors and senior management to exculpate to the fullest extent permitted by law and to indemnify them for certain liabilities, subject to limited exceptions,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directors and senior management based on such indemnification undertaking is the greater of (i) 25% of our shareholders’ equity pursuant to our most recent audited financial statements at the time the indemnification is actually paid, and (2) $20 million. Such indemnification amounts are in addition to any insurance amounts.</w:t>
      </w:r>
    </w:p>
    <w:p>
      <w:pPr>
        <w:spacing w:after="0" w:line="174"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found at the end of this Annual Report, beginning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may become a party to legal proceedings and claims in the ordinary course of business. We are not currently a party to any significant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cash dividends to our shareholders. Currently, we do not intend to pay cash dividends. We currently intend to reinvest any future earnings, if any, in developing and expanding our business. Any future determination relating to our dividend policy will be at the discretion of our board of directors and will depend on a number of factors, including future earnings, if any, our financial condition, operating results, contractual restrictions, capital requirements, business prospects, applicable Israeli law and other factors our board of directors may deem relevant.</w:t>
      </w:r>
    </w:p>
    <w:p>
      <w:pPr>
        <w:spacing w:after="0" w:line="167"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disclosed in this Annual Report, no significant change has occurred since December 31, 2020.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Our Ordinary Shares have been trading on the TASE under the symbol “BWAY” since January 2007. Our ADSs were traded on The NASDAQ Capital Market under the symbol “BWAY” from April 16, 2019.</w:t>
      </w:r>
    </w:p>
    <w:p>
      <w:pPr>
        <w:spacing w:after="0" w:line="16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Ordinary Shares are listed and traded on the TASE, and our ADSs, each representing two Ordinary Share and evidenced by an American depositary receipt, or ADR, are traded on The Nasdaq Global Market under the symbol “BWAY.” The ADRs were issued pursuant to a Depositary Agreement entered into with The Bank of New York.</w:t>
      </w:r>
    </w:p>
    <w:p>
      <w:pPr>
        <w:spacing w:after="0" w:line="180"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7380" w:firstLine="8"/>
        <w:spacing w:after="0" w:line="503" w:lineRule="auto"/>
        <w:tabs>
          <w:tab w:leader="none" w:pos="648"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 Securities Registers</w:t>
      </w:r>
    </w:p>
    <w:p>
      <w:pPr>
        <w:spacing w:after="0"/>
        <w:rPr>
          <w:sz w:val="20"/>
          <w:szCs w:val="20"/>
          <w:color w:val="auto"/>
        </w:rPr>
      </w:pPr>
      <w:r>
        <w:rPr>
          <w:rFonts w:ascii="Arial" w:cs="Arial" w:eastAsia="Arial" w:hAnsi="Arial"/>
          <w:sz w:val="18"/>
          <w:szCs w:val="18"/>
          <w:color w:val="auto"/>
        </w:rPr>
        <w:t>The transfer agent and registrar for our ADSs is The Bank of New York Mellon, and its address is 101 Barclay Street, New York, 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Objects and Purposes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 to Section 4 of our articles of association, we shall engage in any legal business. Our number with the Israeli Registrar of Companies is 51-389076-4.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Israeli Companies Law, if (i) as a result of a private placement a person would become a controlling shareholder or (ii) a private placement will entitle investors to receive 20% or more of the voting rights of a company as calculated before the private placement, and all or part of the private placement consideration is not in cash or in public traded securities or is not in market terms and if as a result of the private placement the holdings of a substantial shareholder will increase or as a result of it a person will become a substantial shareholder, then, in either case, the allotment must be approved by the board of directors and by the shareholders of the company. A “substantial shareholder” is defined as a shareholder who holds five percent or more of the company’s outstanding share capital, assuming the exercise of all of the securities convertible into shares held by that person. In order for the private placement to be on “market terms” the board of directors has to determine, on the basis of detailed explanation, that the private placement is on market terms, unless proven otherwise.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articles of association, resolutions by the board of directors are decided by a majority of votes of the directors present, or participating, in the case of voting by media, and voting, each director having one vote.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Israeli Companies Law requires that certain transactions, actions, and arrangements be approved as provided for in a company’s articles of association and in certain circumstances by the compensation or audit committee and by the board of directors itself. Those transactions that require such approval pursuant to a company’s articles of association must be approved by its board of directors. In certain circumstances, compensation or audit committee and shareholder approval are also required. See “Item 6. Directors, Senior Management and Employees – C. Board Practices.”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Israeli Companies Law requires that a member of the board of directors or senior management of the company promptly and, in any event, not later than the first board meeting at which the transaction is discussed, disclose any personal interest that he or she may have, either directly or by way of any corporation in which he or she is, directly or indirectly, a 5% or greater shareholder, director or general manager or in which he or she has the right to appoint at least one director or the general manager, as well as all related material information known to him or her, in connection with any existing or proposed transaction by the company. In addition, if the transaction is an extraordinary transaction, (that is, a transaction other than in the ordinary course of business, otherwise than on market terms, or is likely to have a material impact on the company’s profitability, assets or liabilities), the member of the board of directors or senior management must also disclose any personal interest held by his or her spouse, siblings, parents, grandparents, descendants, spouse’s descendants, siblings, and parents, and the spouses of any of the foregoing.</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Once the member of the board of directors or senior management complies with the above disclosure requirement, a company may approve the transaction in accordance with the provisions of its articles of association. Under the provisions of the Israeli Companies Law, whoever has a personal interest in a matter, which is considered at a meeting of the board of directors or the audit committee, may not be present at this meeting or vote on this matter, unless it is not an extraordinary transaction as defined in the Israeli Companies Law. However, if the chairman of the board of directors or the chairman of the audit committee has determined that the presence of a director or an officer with a personal interest is required for the presentation of a matter, such officer holder may be present at the meeting. Notwithstanding the foregoing, if the majority of the directors have a personal interest in a matter, they will be allowed to participate and vote on this matter, but an approval of the transaction by the shareholders in the general meeting will be required.</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articles of association provide that, subject to the Israeli Companies Law, all actions executed in good faith by the board of directors or by a committee thereof or by any person acting as a director or a member of a committee of the board of directors, will be deemed to be valid even if, after their execution, it is discovered that there was a flaw in the appointment of these persons or that any one of these persons was disqualified from serving in his or her office.</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articles of association provide that, subject to the provisions of the Israeli Companies Law, the board of directors may appoint board of directors’ committees. The committees of the board of directors report to the board of directors their resolutions or recommendations on a regular basis, as prescribed by the board of directors. The board of directors may cancel the resolution of a committee that has been appointed by it; however, such cancellation will not affect the validity of any resolution of a committee, pursuant to which we acted, vis-à-vis another person, who was not aware of the cancellation thereof. Decisions or recommendations of the committee of the board which require the approval of the board of directors will be brought to the directors’ attention a reasonable time prior to the discussion at the board of directors.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Israeli Companies Law, a contract of a company with its directors, regarding their conditions of service, including the grant to them of exemption from liability from certain actions, insurance, and indemnification as well as the company’s contract with its directors on conditions of their employment, in other capacities, require the approval of the compensation committee, the board of directors, and the shareholders by a Special Majority.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share capital currently consists of 60,000,000 ordinary shares, par value NIS 0.04 per share. As of December 31, 2020, there were 22,250,534 ordinary shares issued and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outstanding ordinary shares are and will be validly issued, fully paid and non-assessable. Our ordinary shares are not redeemable and do not have any preemptive rights.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there were outstanding options to purchase an aggregate of 1,522,975 shares of our ordinary shares, with a weighted-average exercise price of $7.4 per ordinary share. In addition, there are options to purchase an additional 2,103,225 ordinary shares reserved for future issuance under our Share Incentive Plan.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Transfer of Shares</w:t>
      </w:r>
      <w:r>
        <w:rPr>
          <w:rFonts w:ascii="Arial" w:cs="Arial" w:eastAsia="Arial" w:hAnsi="Arial"/>
          <w:sz w:val="18"/>
          <w:szCs w:val="18"/>
          <w:color w:val="auto"/>
        </w:rPr>
        <w:t>. Fully paid Ordinary Shares are issued in registered form and may be freely transferred pursuant to our articles of association unless that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is restricted or prohibited by another instrument.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Shareholders Meetings</w:t>
      </w:r>
      <w:r>
        <w:rPr>
          <w:rFonts w:ascii="Arial" w:cs="Arial" w:eastAsia="Arial" w:hAnsi="Arial"/>
          <w:sz w:val="16"/>
          <w:szCs w:val="16"/>
          <w:color w:val="auto"/>
        </w:rPr>
        <w:t>. Under Israeli law, we are required to hold an annual general meeting of our shareholders once every calendar year that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no later than 15 months after the date of the previous annual general meeting. All general meetings other than the annual meeting of shareholders are referred to in our articles of association as special meetings. In accordance with our articles of association and the Israeli Companies Law,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Subject to the provisions of the Israeli Companies Law and the regulations promulgated thereunder, shareholders entitled to participate and vote at general meetings are the shareholders of record on a date to be decided by the board of directors, which may be between four and forty days prior to the date of the meeting. Furthermore, the Israeli Companies Law requires, </w:t>
      </w:r>
      <w:r>
        <w:rPr>
          <w:rFonts w:ascii="Arial" w:cs="Arial" w:eastAsia="Arial" w:hAnsi="Arial"/>
          <w:sz w:val="18"/>
          <w:szCs w:val="18"/>
          <w:i w:val="1"/>
          <w:iCs w:val="1"/>
          <w:color w:val="auto"/>
        </w:rPr>
        <w:t>inter alia</w:t>
      </w:r>
      <w:r>
        <w:rPr>
          <w:rFonts w:ascii="Arial" w:cs="Arial" w:eastAsia="Arial" w:hAnsi="Arial"/>
          <w:sz w:val="18"/>
          <w:szCs w:val="18"/>
          <w:color w:val="auto"/>
        </w:rPr>
        <w:t>, that resolutions regarding the following matters must be passed at a general meeting of our shareholders:</w:t>
      </w:r>
    </w:p>
    <w:p>
      <w:pPr>
        <w:spacing w:after="0" w:line="187"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appointment of external directors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spacing w:after="0" w:line="255" w:lineRule="auto"/>
        <w:rPr>
          <w:sz w:val="20"/>
          <w:szCs w:val="20"/>
          <w:color w:val="auto"/>
        </w:rPr>
      </w:pPr>
      <w:r>
        <w:rPr>
          <w:rFonts w:ascii="Arial" w:cs="Arial" w:eastAsia="Arial" w:hAnsi="Arial"/>
          <w:sz w:val="18"/>
          <w:szCs w:val="18"/>
          <w:color w:val="auto"/>
        </w:rPr>
        <w:t>The Company shall give notice of a general meeting only to the shareholders registered in the registry, whose address is in Israel. Our articles of association, in accordance with the provisions of the Israeli Companies Law requires that a notice of any annual general meeting or special general meeting be provided to shareholders at least 14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Israeli Companies Law, shareholders are not permitted to take action by written consent in lieu of a meeting.</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Our ordinary shares do not have cumulative voting rights for the election of directors. As a result, the holders of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represented at a shareholders meeting have the power to elect all of our directors. Under our articles of association, our board of directors must consist of not less than four (4) but no more than nine (9) directors, not including any external directors required to be appointed by the Israel Companies Law and not including up to two (2) additional directors who may be appointed by our board of directors whose term of office would expire on the next following annual meeting of shareholders after their appointment, provided that they may be reappointed by the Board of Directors for one additional term of office. Each appointed director, other than external directors, if any, shall serve as a member of the Board of Directors until the next annual general meeting. The term of a director shall terminate at the next annual general meeting, unless extended by that annual general meeting, or terminated by the general meeting. Pursuant to our articles of association, the vote required to appoint a director is a simple majority vote of holders of our voting shares participating and voting at the relevant meeting. For a more detailed description on the composition of our board of election procedures of our directors, see “Item 6. Directors, Senior Management and Employees – C. Board Practices – Appointment of Directors and Terms of Office.”</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Dividend and Liquidation Rights</w:t>
      </w:r>
      <w:r>
        <w:rPr>
          <w:rFonts w:ascii="Arial" w:cs="Arial" w:eastAsia="Arial" w:hAnsi="Arial"/>
          <w:sz w:val="16"/>
          <w:szCs w:val="16"/>
          <w:color w:val="auto"/>
        </w:rPr>
        <w:t>. Our profits, in respect of which a resolution was passed to distribute them as a dividend or bonus shares, are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to the amount paid or credited as paid on account of the nominal value of shares held by the shareholders. In the event of our liquidation, the liquidator may, with the general meeting’s approval, distribute parts of our property in specie among the shareholders and he may, with similar approval, deposit any part of our property with trustees in favor of the shareholders as the liquidator, with the approval mentioned above deems fit.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Voting, Shareholders’ Meetings, and Resolutions</w:t>
      </w:r>
      <w:r>
        <w:rPr>
          <w:rFonts w:ascii="Arial" w:cs="Arial" w:eastAsia="Arial" w:hAnsi="Arial"/>
          <w:sz w:val="18"/>
          <w:szCs w:val="18"/>
          <w:color w:val="auto"/>
        </w:rPr>
        <w:t>. Our articles of association provide that all resolutions of our shareholders require a simple majority vote,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required by the Israeli Companies Law.</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articles of association provide that the following would require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total voting power voted at a general meeting of shareholders: (i) dismissing a director before the end of his or her term in office, and (ii) amending provisions in our articles of association relating to the size of our board of directors, the right of our board of directors to elect new directors provided that the number of directors is less than the maximum number of directors the right of a shareholder to recommend a board nominee for consideration by Company shareholders, the special majority required to dismiss a director before the end of his or her term in office, the conditions under which the term of office of a director is terminated and the ability of the board of directors to function until the next general meeting so long as the number of members of our board of directors is not less than the minimum number of directors required under our articles of association.</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“Management—Fiduciary Duties and Approval of Specified Related Party Transactions and Compensation under Israeli Law—Disclosure of Personal Interests of a Controlling Shareholder and Approval of Transactions.” Certain transactions with respect to remuneration of our office holders and directors require further approvals described above under “Management—Fiduciary Duties and Approval of Specified Related Party Transactions and Compensation under Israeli Law—Compensation of Directors and Senior management.” Under our articles of association, any change to the rights and privileges of the holders of any class of our shares requires a simple majority of the class so affected.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i w:val="1"/>
          <w:iCs w:val="1"/>
          <w:color w:val="auto"/>
        </w:rPr>
        <w:t xml:space="preserve">Allotment of Shares. </w:t>
      </w:r>
      <w:r>
        <w:rPr>
          <w:rFonts w:ascii="Arial" w:cs="Arial" w:eastAsia="Arial" w:hAnsi="Arial"/>
          <w:sz w:val="17"/>
          <w:szCs w:val="17"/>
          <w:color w:val="auto"/>
        </w:rPr>
        <w:t>Our board of directors has the power to allot or to issue shares to any person, with restrictions and condition as it deems fit.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Tender Offer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shareholders who did not respond or accept the tender offer hold at least 5%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above regarding a full tender offer will also apply, with necessary changes, when a full tender offer is accepted, and the offeror has also offered to acquire all of the company’s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Tender Offer</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Similarly, the Israeli Companies Law provides that an acquisition of shares of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2" w:name="page123"/>
    <w:bookmarkEnd w:id="122"/>
    <w:p>
      <w:pPr>
        <w:jc w:val="both"/>
        <w:spacing w:after="0" w:line="257" w:lineRule="auto"/>
        <w:rPr>
          <w:sz w:val="20"/>
          <w:szCs w:val="20"/>
          <w:color w:val="auto"/>
        </w:rPr>
      </w:pPr>
      <w:r>
        <w:rPr>
          <w:rFonts w:ascii="Arial" w:cs="Arial" w:eastAsia="Arial" w:hAnsi="Arial"/>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in control of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must abstain from expressing any opinion if it is unable to do so, provided that it gives the reasons for its abstention.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officer in a target company who, in his or her capacity as an officer, performs an action the purpose of which is to cause the failure of an existing or foreseeable special tender offer or is to impair the chances of its acceptance, is liable to the potential purchaser and shareholders for damages resulting from his acts, unless such officer acted in good faith, and had reasonable grounds to believe he or she was acting for the benefit of the company. However, officers of the target company may negotiate with the potential purchaser in order to improve the terms of the special tender offer, and may further negotiate with third parties in order to obtain a competing offer.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 In the event that a special tender offer is accepted, then the purchaser or any person or entity controlling it and any corporation controlled by them must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(See “Management – Audit Committee – Approval of Transactions with Related Parties” for a definition of means of control) of the other party to the merger or anyone on their behalf including their relatives (See “Management – External Directors – Qualifications of External Directors” for a definition of relatives) or corporations controlled by any of them, vote against the merger.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the non-surviving entity of the merger has more than one class of shares, the merger must be approved by each class of shareholders. 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3" w:name="page124"/>
    <w:bookmarkEnd w:id="123"/>
    <w:p>
      <w:pPr>
        <w:jc w:val="both"/>
        <w:spacing w:after="0" w:line="257" w:lineRule="auto"/>
        <w:rPr>
          <w:sz w:val="20"/>
          <w:szCs w:val="20"/>
          <w:color w:val="auto"/>
        </w:rPr>
      </w:pPr>
      <w:r>
        <w:rPr>
          <w:rFonts w:ascii="Arial" w:cs="Arial" w:eastAsia="Arial" w:hAnsi="Arial"/>
          <w:sz w:val="18"/>
          <w:szCs w:val="18"/>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or additional rights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majority of our shares represented and voting at a general meeting. Shareholders voting at such a meeting will be subject to the restrictions under the Israeli Companies Law described in “– Voting.”</w:t>
      </w:r>
    </w:p>
    <w:p>
      <w:pPr>
        <w:spacing w:after="0" w:line="173"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other material agreements, please see “Item 4. Information on the Company – B. Business Overview.</w:t>
      </w:r>
    </w:p>
    <w:p>
      <w:pPr>
        <w:spacing w:after="0" w:line="221"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Israeli law and regulations do not impose any material foreign exchange restrictions on non-Israeli holders of our Ordinary Shares. Dividends, if any, paid to holders of our Ordinary Shares, and any amounts payable upon our dissolution, liquidation or winding up, as well as the proceeds of any sale in Israel of our Ordinary Shares to an Israeli resident, may be paid in non-Israeli currency or, if paid in Israeli currency, may be converted into U.S. dollars at the rate of exchange prevailing at the time of conversion.</w:t>
      </w:r>
    </w:p>
    <w:p>
      <w:pPr>
        <w:spacing w:after="0" w:line="183"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the material tax consequences under Israeli law concerning the purchase, ownership, and disposition of our Ordinary Shares or American Depositary Shares (Shares).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discussion does not purport to constitute a complete analysis of all potential tax consequences applicable to investors upon purchasing, owning or disposing of our Shares. In particular, this discussion does not take into account the specific circumstances of any particular investor (such as tax-exempt entities, financial institutions, certain financial companies, broker-dealers, investors that own, directly or indirectly, 10% or more of our outstanding voting rights, all of whom are subject to special tax regimes not covered under this discussion). To the extent that issues discussed herein are based on legislation which has yet to be subject to judicial or administrative interpretation, there can be no assurance that the views expressed herein will accord with any such interpretation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Potential investors are urged to consult their own tax advisors as to the Israeli or other tax consequences of the purchase, ownership, and disposition of the Shares, including, in particular, the effect of any foreign, state or local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Israeli companies are generally subject to corporate tax on their taxable income at the rate of 23% for the 2021 tax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Capital gains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unless an exemption is available or unless an applicable double tax treaty between Israel and the seller’s country of residence provides otherwise. The Israeli Income Tax Ordinance distinguishes between “Real Gain” and the “Inflationary Surplus.” Real Gain is the excess of the total capital gain over Inflationary Surplus generally computed on the basis of the increase in the Israeli Consumer Price Index between the date of purchase and the date of disposition. Inflationary Surplus is not subject to tax.</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Real Gain accrued by individuals on the sale of the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individual shareholders dealing in securities in Israel are taxed at the tax rates applicable to business income (23% in 2021), and a marginal tax rate of up to 50% in 2021 for individuals, including an excess tax (as discussed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Notwithstanding the foregoing, capital gains generated from the sale of our Shares by a non-Israeli shareholder may be exempt from Israeli tax under the Israeli Income Tax Ordinance provided that the following cumulative conditions are met: (i) the Shares were purchased upon or after the registration of the Shares on the stock exchange (this condition will not apply to shares purchased on or after January 1, 2009), and (ii) the seller does not have a permanent establishment in Israel to which the generated capital gain is attributed. However, non-Israeli resident corporations will not be entitled to the foregoing exemption if Israeli residents: (i) have a 25% or more interest in such non-Israeli corporation or (ii) are the beneficiaries of, or are entitled to, 25% or more of the income or profits of such non-Israeli corporation, whether directly or indirectly. In addition, such exemption would not be available to a person whose gains from selling or otherwise disposing of the securities are deemed to be business income.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sale of the Shares may be exempt from Israeli capital gains tax under the provisions of an applicable double tax treaty. For example, the Convention between the Government of the U.S. and the Government of the State of Israel with respect to Taxes on Income (U.S.-Israel Double Tax Treaty) exempts a U.S. resident (for purposes of the treaty) from Israeli capital gain tax in connection with the sale of the Shares, provided that: (i) the U.S. resident owned, directly or indirectly, less than 10% of the voting power of the company at any time within the 12-month period preceding such sale; (ii) the U.S. resident, being an individual, is present in Israel for a period or periods of less than 183 days during the taxable year; and (iii) the capital gain from the sale was not derived through a permanent establishment of the U.S. resident in Israel; however, under the U.S-Israel Double Tax Treaty, the taxpayer would be permitted to claim a credit for such taxes against the U.S. federal income tax imposed with respect to such sale, exchange or disposition, subject to the limitations under U.S. law applicable to foreign tax credits. The U.S-Israel Double Tax Treaty does not relate to U.S. state or local taxes.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Payers of consideration for the Shares, including the purchaser, the Israeli stockbroker or the financial institution through which the Shares are held, are obligated, subject to certain exemptions, to withhold tax upon the sale of Shares at a rate of 25% of the consideration for individuals and corporations.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5" w:name="page126"/>
    <w:bookmarkEnd w:id="125"/>
    <w:p>
      <w:pPr>
        <w:jc w:val="both"/>
        <w:spacing w:after="0" w:line="279" w:lineRule="auto"/>
        <w:rPr>
          <w:sz w:val="20"/>
          <w:szCs w:val="20"/>
          <w:color w:val="auto"/>
        </w:rPr>
      </w:pPr>
      <w:r>
        <w:rPr>
          <w:rFonts w:ascii="Arial" w:cs="Arial" w:eastAsia="Arial" w:hAnsi="Arial"/>
          <w:sz w:val="17"/>
          <w:szCs w:val="17"/>
          <w:color w:val="auto"/>
        </w:rPr>
        <w:t>Upon the sale of traded securities, a detailed return, including a computation of the tax due, must be filed and an advanced payment must be paid to the Israeli Tax Authority on January 31 and July 31 of every tax year in respect of sales of traded securities made within the previous six months. However, if all tax due was withheld at source according to applicable provisions of the Israeli Income Tax Ordinance and regulations promulgated thereunder, such return need not be filed, and no advance payment must be paid. Capital gains are also reportable on annual income tax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Dividends distributed by a company to a shareholder who is an Israeli resident individual will generally be subject to income tax at a rate of 25%. However, a 30% tax rate will apply if the dividend recipient is a Controlling Shareholder, as defined above, at the time of distribution or at any time during the preceding 12-month period. If the recipient of the dividend is an Israeli resident corporation, such dividend will generally be exempt from Israeli income tax provided that the income from which such dividend is distributed, derived or accrued within Israel.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distributed by an Israeli resident company to a non-Israeli resident (either an individual or a corporation) are generally subject to Israeli withholding tax on the receipt of such dividends at the rate of 25% (30% if the dividend recipient is a Controlling Shareholder at the time of distribution or at any time during the preceding 12-month period). These rates may be reduced under the provisions of an applicable double tax treaty. For example, under the U.S.-Israel Double Tax Treaty, the following tax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stock of the Israeli resident paying corporation, and not more than 25% of the gross income of the Israeli resident paying corporation for such prior taxable year (if any) consists of certain types of interest or dividends the tax rate is 12.5%; (ii) if both the conditions mentioned in clause (i) above are met and the dividend is paid from an Israeli resident company’s income which was entitled to a reduced tax rate under The Law for the Encouragement of Capital Investments, 1959, the tax rate is 15%; and (iii) in all other cases, the tax rate is 25%. The aforementioned rates under the U.S.-Israel Double Tax Treaty will not apply if the dividend income is attributed to a permanent establishment of the U.S. resident in Israel.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Individual holders who are subject to tax in Israel (whether any such individual is an Israeli resident or non-Israeli resident), and who have taxable income that exceeds a certain threshold in a tax year ((NIS 647,640 for 2021, linked to the Israeli Consumer Price Index) will be subject to an additional tax at the rate of 3% on his or her taxable income for such tax year that is in excess of such amount. For this purpose, taxable income includes taxable capital gains from the sale of securities and taxable income from interest and dividends, subject to the provisions of an applicable double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Israel does not currently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Non-residents of Israel who hold our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7"/>
          <w:szCs w:val="17"/>
          <w:color w:val="auto"/>
        </w:rPr>
        <w:t>The following is a summary of the material U.S. federal income tax consequences relating to the ownership and disposition of our Ordinary Shares and ADSs by U.S. Holders, as defined below. This summary addresses solely U.S. Holders who acquire ADSs pursuant to this offering and who hold Ordinary Shares or ADSs, as applicable, as capital assets for tax purposes. This summary is based on current provisions of the Internal Revenue Code of 1986, as amended (Code), current and proposed Treasury regulations promulgated thereunder, and administrative and judicial decisions as of the date hereof, all of which are subject to change, possibly on a retroactive basis. In addition, this section is based in part upon representations of the depositary and the assumption that each obligation in the deposit agreement and any related agreement will be performed in accordance with its terms. This summary does not address all U.S. federal income tax matters that may be relevant to a particular holder or all tax considerations that may be relevant with respect to an investment in our Ordinary Shares or ADSs.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does not address tax considerations applicable to a holder of our Ordinary Shares or ADSs that may be subject to special tax rules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dealers or traders in securities, currencies or notional principal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banks;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traders that have elected mark-to-market accounting;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investors that hold Ordinary Shares or ADSs as part of a “straddle”, “hedge”, or “conversion transaction” with other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that actually or constructively own 10 percent or more of our voting shares;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that are treated as partnerships or other pass-through entities for U.S. federal income purposes and persons who hold the Shares through partnerships or other pass-through entities;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summary does not address the effect of any U.S. federal taxation other than U.S. federal income taxation. In addition, this summary does not include any discussion of state, local, or foreign tax consequences to a holder of our Ordinary Shares or ADSs.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 are urged to consult your own tax advisor regarding the foreign and U.S. federal, state, local, and other tax consequences of an investment in Ordinary Shares or ADSs.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summary, a “U.S. Holder” means a beneficial owner of an Ordinary Share or ADS that is for U.S. federal income tax purposes:</w:t>
      </w:r>
    </w:p>
    <w:p>
      <w:pPr>
        <w:spacing w:after="0" w:line="237"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or any political subdivision thereof;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7" w:name="page128"/>
    <w:bookmarkEnd w:id="127"/>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(1) if (a) a court within the U.S. is able to exercise primary supervision over the administration of the trust and (b) one or more U.S. persons have the authority to control all substantial decisions of the trust or (2) that has a valid election in effect under applicable U.S. Treasury regulations to be treated as a U.S. person.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 entity that is classified as a partnership for U.S. federal tax purposes holds Ordinary Shares or ADSs, the U.S. federal tax treatment of its partners will generally depend upon the status of the partners and the activities of the partnership. Entities that are classified as partnerships for U.S. federal tax purposes and persons holding Ordinary Shares or ADSs through such entities should consult their own tax advisors.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general, if you hold ADSs, you will be treated as the holder of the underlying Ordinary Shares represented by those ADSs for U.S. federal income tax purposes. Accordingly, gain or loss generally will not be recognized if you exchange ADSs for the underlying Ordinary Shares represented by those ADSs.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Subject to the discussion under “Item 10. Additional Information – E. Taxation – U.S. Federal Income Tax Considerations – Passive Foreign Investment Companies” below, the gross amount of any distribution, including the amount of any Israeli taxes withheld from such distribution, see “Item 10. Additional Information – E. Taxation – Israeli Tax Considerations”, actually or constructively received by a U.S. Holder with respect to our Ordinary Shares (or, in the case of ADSs, received by the depositary) will be taxable to the U.S. Holder as foreign source dividend income to the extent of our current and accumulated earnings and profits as determined under U.S. federal income tax principles. The U.S. Holder will not be eligible for any dividends received deduction in respect of the dividends paid by us. Distributions in excess of earnings and profits will be non-taxable to the U.S. Holder to the extent of the U.S. Holder’s adjusted tax basis in its Ordinary Shares or ADSs. Distributions in excess of such adjusted tax basis will generally be taxable to the U.S. Holder as capital gain from the sale or exchange of property as described below under “Sale or Other Disposition of Ordinary Shares or ADSs.” If we do not report to a U.S. Holder the portion of a distribution that exceeds earnings and profits, then the distribution will generally be taxable as a dividend. The amount of any distribution of property other than cash will be the fair market value of that property on the date of distribution.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Code, certain dividends received by non-corporate U.S. Holders will be subject to a maximum federal income tax rate of 20%. This reduced income tax rate is only applicable to dividends paid by a “qualified foreign corporation” that is not a PFIC for the year in which the dividend is paid or for the preceding taxable year, and only with respect to Ordinary Shares or ADSs held by a qualified U.S. Holder (i.e., a non-corporate holder) for a minimum holding period (generally 61 days during the 121-day period beginning 60 days before the ex-dividend date). As discussed below, however, we believe we may be a “passive foreign investment company” (see “Item 10. Additional Information – E. Taxation – U.S. Federal Income Tax Considerations – Passive Foreign Investment Companies” below) for our current taxable year and future taxable years. Accordingly, dividends paid by us to individual U.S. Holders may not be eligible for the reduced income tax rate applicable to qualified dividends. You should consult your own tax advisor regarding the availability of this preferential tax rate under your particular circumstances.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amount of any distribution paid in a currency other than U.S. dollars (a “foreign currency”), including the amount of any withholding tax thereon, will be included in the gross income of a U.S. Holder in an amount equal to the U.S. dollar value of the foreign currency calculated by reference to the exchange rate in effect on the date of the U.S. Holder’s (or, in the case of ADSs, the depositary’s) receipt of the dividend, regardless of whether the foreign currency is converted into U.S. dollars. If the foreign currency is converted into U.S. dollars on the date of receipt, a U.S. Holder generally should not be required to recognize a foreign currency gain or loss in respect of the dividend. If the foreign currency received in the distribution is not converted into U.S. dollars on the date of receipt, a U.S. Holder will have a basis in the foreign currency equal to its U.S. dollar value on the date of receipt. Any gain or loss on a subsequent conversion or other disposition of the foreign currency will be treated as U.S. source ordinary income or loss.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certain conditions and limitations, any Israeli taxes withheld on dividends may be creditable against a U.S. Holder’s U.S. federal income tax liability, subject to generally applicable limitations. The rules relating to foreign tax credits and the timing thereof are complex. U.S. Holders should consult their own tax advisors regarding the availability of a foreign tax credit in their particular situation.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Sale or Other Disposition of Ordinary Shares or ADSs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discussion under “Item 10. Additional Information – Taxation — U.S. Federal Income Tax Considerations – Passive Foreign Investment Companies” below, if a U.S. Holder sells or otherwise disposes of its Ordinary Shares or ADSs, gain or loss will be recognized for U.S. federal income tax purposes in an amount equal to the difference between the amount realized on the sale or other disposition and such holder’s adjusted basis in the Ordinary Shares or ADSs. Such gain or loss generally will be a capital gain or loss, and will be a long-term capital gain or loss if the holder had held the Ordinary Shares or ADSs for more than one year at the time of the sale or other disposition. Long-term capital gains realized by non-corporate U.S. Holders are generally subject to a preferential U.S. federal income tax rate. In general, gain or loss recognized by a U.S. Holder on the sale or other disposition or our Ordinary Shares or ADSs will be U.S. source gain or loss for purposes of the foreign tax credit limitation. As discussed below in “Item 10. Additional Information – Taxation — U.S. Federal Income Tax Considerations – Passive Foreign Investment Companies,” however, we may be a PFIC for our current taxable year and future taxable years. If we are a PFIC, any such gain will be subject to the PFIC rules, as discussed below, rather than being taxed as a capital gain.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U.S. Holder receives foreign currency upon a sale or exchange of Ordinary Shares or ADSs, gain or loss will be recognized in the manner described above under “Distributions.” However, if such foreign currency is converted into U.S. dollars on the date received by the U.S. Holder, the U.S. Holder generally should not be required to recognize any foreign currency gain or loss on such conversion.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above under the heading “Item 10. Additional Information – E. Taxation – Israeli Tax Considerations – Taxation of Shareholders,” a U.S. Holder who holds Ordinary Shares or ADSs through an Israeli broker or other Israeli intermediary may be subject to Israeli withholding tax on any capital gains recognized on a sale or other disposition of the Ordinary Shares or ADSs if the U.S. Holder does not obtain approval of an exemption from the Israeli Tax Authorities or claim any allowable refunds or reductions. U.S. Holders are advised that any Israeli tax paid under circumstances in which an exemption from (or a refund of or a reduction in) such tax was available will not be creditable for U.S. federal income tax purposes. U.S. Holders are advised to consult their Israeli broker or intermediary regarding the procedures for obtaining an exemption or reduction.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Tax on Unearned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U.S. Holders that are individuals, estates or trusts are required to pay an additional 3.8% tax on their net investment income, which would include dividends paid on the Ordinary Shares or ADSs and capital gains from the sale or other disposition of the Ordinary Shares or ADSs.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believe that we are currently a PFIC and do not anticipate becoming a PFIC in the foreseeable future, it is possible that we may be treated as a PFIC for U.S. federal income tax purposes for our current taxable year and future taxable years. A non-U.S. corporation is considered a PFIC for any taxable year if either:</w:t>
      </w:r>
    </w:p>
    <w:p>
      <w:pPr>
        <w:spacing w:after="0" w:line="18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a proportionate share of the income of such other corporation directly.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9" w:name="page130"/>
    <w:bookmarkEnd w:id="129"/>
    <w:p>
      <w:pPr>
        <w:jc w:val="both"/>
        <w:spacing w:after="0" w:line="279" w:lineRule="auto"/>
        <w:rPr>
          <w:sz w:val="20"/>
          <w:szCs w:val="20"/>
          <w:color w:val="auto"/>
        </w:rPr>
      </w:pPr>
      <w:r>
        <w:rPr>
          <w:rFonts w:ascii="Arial" w:cs="Arial" w:eastAsia="Arial" w:hAnsi="Arial"/>
          <w:sz w:val="17"/>
          <w:szCs w:val="17"/>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Based on our retention of a significant amount of cash and cash equivalents, and depending on the market price of the ADSs, we may be a PFIC for the current taxable year and future taxable years.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are a PFIC for any year during which you hold the ADSs, we generally will continue to be treated as a PFIC with respect to you for all succeeding years during which you hold the ADSs,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each taxable year we are treated as a PFIC with respect to you, you will be subject to special tax rules with respect to any “excess distribution”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17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of excess distribution or gain allocated to the current taxable year, and any taxable year before the first taxable year in which we were a PFIC, must be included in gross income (as ordinary income) for the current tax year;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tax liability for amounts allocated to years before the year of disposition or “excess distribution” cannot be offset by any net operating losses for such years, and gains (but not losses) realized on the sale of the ADSs cannot be treated as capital, even if you hold the ADSs as capital assets.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own tax advisor regarding the application of the PFIC rules to any of our subsidiaries.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Ordinary Shares.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which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“Sale or Other Disposition of Ordinary Shares or ADSs.”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0" w:name="page131"/>
    <w:bookmarkEnd w:id="130"/>
    <w:p>
      <w:pPr>
        <w:jc w:val="both"/>
        <w:spacing w:after="0" w:line="288" w:lineRule="auto"/>
        <w:rPr>
          <w:sz w:val="20"/>
          <w:szCs w:val="20"/>
          <w:color w:val="auto"/>
        </w:rPr>
      </w:pPr>
      <w:r>
        <w:rPr>
          <w:rFonts w:ascii="Arial" w:cs="Arial" w:eastAsia="Arial" w:hAnsi="Arial"/>
          <w:sz w:val="16"/>
          <w:szCs w:val="16"/>
          <w:color w:val="auto"/>
        </w:rPr>
        <w:t>The mark-to-market election is available only for “marketable stock,” which is a stock that is traded in other than de minimis quantities on at least 15 days during each calendar quarter, or regularly traded, on a qualified exchange or another market, as defined in applicable U.S. Treasury regulations. Any trades that have as their principal purpose meeting this requirement will be disregarded. The ADSs are listed on the Nasdaq Global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own tax advisors as to the availability and desirability of a mark-to-market election, as well as the impact of such election on interests in any lower-tier PFICs.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own tax advisors regarding the requirements of filing such information returns under these rules, taking into account the uncertainty as to whether we are currently treated as or may become a PFIC.</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ARE STRONGLY URGED TO CONSULT YOUR OWN TAX ADVISOR REGARDING THE IMPACT OF OUR POTENTIAL PFIC STATUS ON YOUR INVESTMENT IN THE ADSs AS WELL AS THE APPLICATION OF THE PFIC RULES TO YOUR INVESTMENT IN THE ADSs.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Payments of dividends with respect to Ordinary Shares or ADSs and the proceeds from the sale, retirement, or other disposition of Ordinary Shares or ADSs made by a U.S. paying agent or other U.S. intermediary will be reported to the IRS and to the U.S. Holder as may be required under applicable U.S. Treasury regulations. We, or an agent, a broker, or any paying agent, as the case may be, may be required to withhold tax (backup withholding), currently at the rate of 24%, if a non-corporate U.S. Holder that is not otherwise exempt fails to provide an accurate taxpayer identification number and comply with other IRS requirements concerning information reporting. Certain U.S. Holders (including, among others, corporations and tax-exempt organizations) are not subject to backup withholding. Any amount of backup withholding withheld may be used as a credit against your U.S. federal income tax liability provided that the required information is furnished to the IRS. U.S. Holders should consult their own tax advisors as to their qualification for exemption from backup withholding and the procedure for obtaining an exemption.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Holders may be required to file certain U.S. information reporting returns with the IRS with respect to an investment in our Ordinary Shares or ADSs, including, among others, IRS Form 8938 (Statement of Specified Foreign Financial Assets). As described above under “Item 10. Additional Information – Taxation — U.S. Federal Income Tax Considerations – Passive Foreign Investment Companies,” each U.S. Holder who is a shareholder of a PFIC must file an annual report containing certain information. Substantial penalties may be imposed upon a U.S. Holder that fails to comply with the required information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1" w:name="page132"/>
    <w:bookmarkEnd w:id="131"/>
    <w:p>
      <w:pPr>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REGARDING THE TAX CONSEQUENCES OF AN INVESTMENT IN OUR ORDINARY SHARES OR ADSs IN LIGHT OF SUCH INVESTOR’S PARTICULAR CIRCUMSTANCES.</w:t>
      </w:r>
    </w:p>
    <w:p>
      <w:pPr>
        <w:spacing w:after="0" w:line="16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are subject to the information reporting requirements of the Exchange Act, applicable to foreign private issuers, and under those requirements, we file reports with the SEC. Those other reports or other information are available to the public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comply with the informational requirements of the Exchange Act, and, accordingly, file current reports on Form 6-K, annual reports on Form 20-F and other information with the SEC.</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since our Ordinary Shares are traded on the TASE, we have filed Hebrew language periodic, and immediate reports with, and furnish information to, the TASE and the Israeli Securities Authority, as required under Chapter Six of the Israel Securities Law, 1968. Copies of our filings with the Israeli Securities Authority can be retrieved electronically through the MAGNA distribution site of the Israeli Securities Authority (</w:t>
      </w:r>
      <w:r>
        <w:rPr>
          <w:rFonts w:ascii="Arial" w:cs="Arial" w:eastAsia="Arial" w:hAnsi="Arial"/>
          <w:sz w:val="18"/>
          <w:szCs w:val="18"/>
          <w:i w:val="1"/>
          <w:iCs w:val="1"/>
          <w:color w:val="auto"/>
        </w:rPr>
        <w:t>www.magna.isa.gov.il</w:t>
      </w:r>
      <w:r>
        <w:rPr>
          <w:rFonts w:ascii="Arial" w:cs="Arial" w:eastAsia="Arial" w:hAnsi="Arial"/>
          <w:sz w:val="18"/>
          <w:szCs w:val="18"/>
          <w:color w:val="auto"/>
        </w:rPr>
        <w:t>) and the TASE website (</w:t>
      </w:r>
      <w:r>
        <w:rPr>
          <w:rFonts w:ascii="Arial" w:cs="Arial" w:eastAsia="Arial" w:hAnsi="Arial"/>
          <w:sz w:val="18"/>
          <w:szCs w:val="18"/>
          <w:i w:val="1"/>
          <w:iCs w:val="1"/>
          <w:color w:val="auto"/>
        </w:rPr>
        <w:t>www.maya.tase.co.il</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www.brainsway.com.</w:t>
      </w:r>
      <w:r>
        <w:rPr>
          <w:rFonts w:ascii="Arial" w:cs="Arial" w:eastAsia="Arial" w:hAnsi="Arial"/>
          <w:sz w:val="18"/>
          <w:szCs w:val="18"/>
          <w:color w:val="auto"/>
        </w:rPr>
        <w:t xml:space="preserve"> Information contained on, or that can be accessed through, our website does not constitute a part of this Annual Report.</w:t>
      </w:r>
    </w:p>
    <w:p>
      <w:pPr>
        <w:spacing w:after="0" w:line="16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financial position, results of operations or cash flows. Our overall risk management program focuses on the unpredictability of financial markets and seeks to minimize potential adverse effects on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of Interest Rate Fluctuation and Credit Exposure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present, our credit and interest risk arise from cash and cash equivalents, deposits with banks as well as accounts receivable. A substantial portion of our liquid instruments is invested in short-term deposits.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both"/>
        <w:spacing w:after="0" w:line="279" w:lineRule="auto"/>
        <w:rPr>
          <w:sz w:val="20"/>
          <w:szCs w:val="20"/>
          <w:color w:val="auto"/>
        </w:rPr>
      </w:pPr>
      <w:r>
        <w:rPr>
          <w:rFonts w:ascii="Arial" w:cs="Arial" w:eastAsia="Arial" w:hAnsi="Arial"/>
          <w:sz w:val="17"/>
          <w:szCs w:val="17"/>
          <w:color w:val="auto"/>
        </w:rPr>
        <w:t>We estimate that because the liquid instruments are invested mainly for the short-term, the credit, and interest risk associated with these balances is low. The primary objective of our investment activities is to preserve principal while maximizing the income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U.S. dollar is our functional and reporting currency. Although a substantial portion of our expenses (mainly salaries and related costs) are denominated in NIS, accounting for approximately 50% of our expenses in the year ended December 31, 2020, all of our financing has been in U.S. dollars, and the substantial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increase our marketing and sales personnel, and enhance our clinical studies. Changes of 5% in the U.S. dollar/NIS exchange rate would have increased/decreased operating expenses by approximately $95 /105 thousand during the year ended December 31, 2020. We also have expenses, although to a much lesser extent, in other non-U.S. dollar currencies, in particular the Euro.</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Moreover, for the next few years we expect that the substantial majority of our revenues from the sale or lease of our systems in the United States, if any, will be denominated in U.S. dollars. Since a portion of our expenses is denominated in NIS and other non-U.S. currencies, we are exposed to risk associated with exchange rate fluctuations vis-à-vis the non-U.S. currencies.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5"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American Depositary Shares, or ADSs, represents 2 Ordinary Shares. The ADSs trade on The Nasdaq Global Market.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form of the deposit agreement for the ADSs and the form of American Depositary Receipt (ADR) that represents an ADS have been incorporated by reference as exhibits to this Annual Report on Form 20-F. Copies of the deposit agreement are available for inspection at the principal office of The Bank of New York Mellon, located at 101 Barclay Street, New York, New York 10286, and at the principal office of our custodians in Israel, Bank Leumi Le-Israel, 34 Yehuda Halevi St., Tel Aviv 65546, Israel.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depositing or withdrawing shares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Depositary Shareholders must pay</w:t>
      </w:r>
      <w:r>
        <w:rPr>
          <w:rFonts w:ascii="Arial" w:cs="Arial" w:eastAsia="Arial" w:hAnsi="Arial"/>
          <w:sz w:val="18"/>
          <w:szCs w:val="18"/>
          <w:b w:val="1"/>
          <w:bCs w:val="1"/>
          <w:color w:val="auto"/>
        </w:rPr>
        <w:t>:</w:t>
      </w:r>
    </w:p>
    <w:p>
      <w:pPr>
        <w:spacing w:after="0" w:line="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$5.00 (or less) per 100 American Depositary Shares (or portion of 100 American Depositary 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American Depositary Share</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American Depositary Shares</w:t>
      </w:r>
    </w:p>
    <w:p>
      <w:pPr>
        <w:spacing w:after="0" w:line="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$.05 (or less) per American Depositary Shares per calendar year Registration or transfer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Taxes and other governmental charges the depositary or the custodian have to pay on any American Depositary Share or share underlying an American Depositary Share, for example, stock transfer taxes, stamp duty or withholding taxes</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17145</wp:posOffset>
            </wp:positionV>
            <wp:extent cx="7132320" cy="557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7" w:lineRule="exact"/>
        <w:rPr>
          <w:sz w:val="20"/>
          <w:szCs w:val="20"/>
          <w:color w:val="auto"/>
        </w:rPr>
      </w:pPr>
    </w:p>
    <w:p>
      <w:pPr>
        <w:ind w:left="120" w:right="20" w:hanging="121"/>
        <w:spacing w:after="0" w:line="258" w:lineRule="auto"/>
        <w:rPr>
          <w:sz w:val="20"/>
          <w:szCs w:val="20"/>
          <w:color w:val="auto"/>
        </w:rPr>
      </w:pPr>
      <w:r>
        <w:rPr>
          <w:rFonts w:ascii="Arial" w:cs="Arial" w:eastAsia="Arial" w:hAnsi="Arial"/>
          <w:sz w:val="18"/>
          <w:szCs w:val="18"/>
          <w:color w:val="auto"/>
        </w:rPr>
        <w:t>●Issuance of American Depositary Shares, including issuances resulting from a distribution of shares or rights or other property</w:t>
      </w:r>
    </w:p>
    <w:p>
      <w:pPr>
        <w:ind w:left="120" w:hanging="121"/>
        <w:spacing w:after="0" w:line="250" w:lineRule="auto"/>
        <w:rPr>
          <w:sz w:val="20"/>
          <w:szCs w:val="20"/>
          <w:color w:val="auto"/>
        </w:rPr>
      </w:pPr>
      <w:r>
        <w:rPr>
          <w:rFonts w:ascii="Arial" w:cs="Arial" w:eastAsia="Arial" w:hAnsi="Arial"/>
          <w:sz w:val="18"/>
          <w:szCs w:val="18"/>
          <w:color w:val="auto"/>
        </w:rPr>
        <w:t>●Cancellation of American Depositary Shares for the purpose of withdrawal, including if the deposit agreement terminates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American Depositary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5715</wp:posOffset>
            </wp:positionV>
            <wp:extent cx="71323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120" w:right="20" w:hanging="121"/>
        <w:spacing w:after="0" w:line="290" w:lineRule="auto"/>
        <w:rPr>
          <w:sz w:val="20"/>
          <w:szCs w:val="20"/>
          <w:color w:val="auto"/>
        </w:rPr>
      </w:pPr>
      <w:r>
        <w:rPr>
          <w:rFonts w:ascii="Arial" w:cs="Arial" w:eastAsia="Arial" w:hAnsi="Arial"/>
          <w:sz w:val="17"/>
          <w:szCs w:val="17"/>
          <w:color w:val="auto"/>
        </w:rPr>
        <w:t>●Distribution of securities distributed to holders of deposited securities which are distributed by the depositary to American Depositary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14605</wp:posOffset>
            </wp:positionV>
            <wp:extent cx="71323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120" w:hanging="121"/>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ind w:left="120" w:hanging="121"/>
        <w:spacing w:after="0" w:line="250" w:lineRule="auto"/>
        <w:rPr>
          <w:sz w:val="20"/>
          <w:szCs w:val="20"/>
          <w:color w:val="auto"/>
        </w:rPr>
      </w:pPr>
      <w:r>
        <w:rPr>
          <w:rFonts w:ascii="Arial" w:cs="Arial" w:eastAsia="Arial" w:hAnsi="Arial"/>
          <w:sz w:val="18"/>
          <w:szCs w:val="18"/>
          <w:color w:val="auto"/>
        </w:rPr>
        <w:t>●Cable, telex, and facsimile transmissions (when expressly provided in the deposit agreement)</w:t>
      </w:r>
    </w:p>
    <w:p>
      <w:pPr>
        <w:spacing w:after="0" w:line="1" w:lineRule="exact"/>
        <w:rPr>
          <w:sz w:val="20"/>
          <w:szCs w:val="20"/>
          <w:color w:val="auto"/>
        </w:rPr>
      </w:pPr>
    </w:p>
    <w:p>
      <w:pPr>
        <w:ind w:right="2700"/>
        <w:spacing w:after="0" w:line="260" w:lineRule="auto"/>
        <w:rPr>
          <w:sz w:val="20"/>
          <w:szCs w:val="20"/>
          <w:color w:val="auto"/>
        </w:rPr>
      </w:pPr>
      <w:r>
        <w:rPr>
          <w:rFonts w:ascii="Arial" w:cs="Arial" w:eastAsia="Arial" w:hAnsi="Arial"/>
          <w:sz w:val="18"/>
          <w:szCs w:val="18"/>
          <w:color w:val="auto"/>
        </w:rPr>
        <w:t>●Converting foreign currency to U.S. dollars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-146685</wp:posOffset>
            </wp:positionV>
            <wp:extent cx="7132320" cy="548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180" w:space="100"/>
            <w:col w:w="5960"/>
          </w:cols>
          <w:pgMar w:left="320" w:top="692" w:right="339" w:bottom="1440" w:gutter="0" w:footer="0" w:header="0"/>
        </w:sectPr>
      </w:pPr>
    </w:p>
    <w:p>
      <w:pPr>
        <w:jc w:val="both"/>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34" w:name="page135"/>
    <w:bookmarkEnd w:id="134"/>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260" w:hanging="252"/>
        <w:spacing w:after="0"/>
        <w:tabs>
          <w:tab w:leader="none" w:pos="2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Controls and Procedures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performed an evaluation of the effectiveness of our disclosure controls and procedures that are designed to ensure that information required to be disclosed on Form 20-F and filed with the SEC is recorded, processed, summarized, and reported timely within the time period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There can be no assurance that our disclosure controls and procedures will detect or uncover all failures of persons within the company to disclose information otherwise required to be set forth in our reports. Nevertheless, our disclosure controls and procedures are designed to provide reasonable assurance of achieving the desired control objectives. Based on our evaluation, our management, including our Chief Executive Officer and Chief Financial Officer, have concluded that our disclosure controls and procedures (as defined in Rules 13a-15(e) and 15d-15(e) of the Exchange Act) as of the end of the period covered by this report are effective at such reasonable assurance level.</w:t>
      </w:r>
    </w:p>
    <w:p>
      <w:pPr>
        <w:spacing w:after="0" w:line="181" w:lineRule="exact"/>
        <w:rPr>
          <w:sz w:val="20"/>
          <w:szCs w:val="20"/>
          <w:color w:val="auto"/>
        </w:rPr>
      </w:pPr>
    </w:p>
    <w:p>
      <w:pPr>
        <w:ind w:left="280" w:hanging="272"/>
        <w:spacing w:after="0"/>
        <w:tabs>
          <w:tab w:leader="none" w:pos="28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(c) </w:t>
      </w:r>
      <w:r>
        <w:rPr>
          <w:rFonts w:ascii="Arial" w:cs="Arial" w:eastAsia="Arial" w:hAnsi="Arial"/>
          <w:sz w:val="16"/>
          <w:szCs w:val="16"/>
          <w:b w:val="1"/>
          <w:bCs w:val="1"/>
          <w:u w:val="single" w:color="auto"/>
          <w:color w:val="auto"/>
        </w:rPr>
        <w:t>Management’s Annual Report on Internal Control over Financial Reporting</w:t>
      </w:r>
      <w:r>
        <w:rPr>
          <w:rFonts w:ascii="Arial" w:cs="Arial" w:eastAsia="Arial" w:hAnsi="Arial"/>
          <w:sz w:val="16"/>
          <w:szCs w:val="16"/>
          <w:b w:val="1"/>
          <w:bCs w:val="1"/>
          <w:color w:val="auto"/>
        </w:rPr>
        <w:t xml:space="preserve"> and </w:t>
      </w:r>
      <w:r>
        <w:rPr>
          <w:rFonts w:ascii="Arial" w:cs="Arial" w:eastAsia="Arial" w:hAnsi="Arial"/>
          <w:sz w:val="16"/>
          <w:szCs w:val="16"/>
          <w:b w:val="1"/>
          <w:bCs w:val="1"/>
          <w:u w:val="single" w:color="auto"/>
          <w:color w:val="auto"/>
        </w:rPr>
        <w:t>Attestation Report of Registered Public Accounting Firm</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company’s independent registered public accounting firm due to the transition period established by rules of the SEC for newly public companies.</w:t>
      </w:r>
    </w:p>
    <w:p>
      <w:pPr>
        <w:spacing w:after="0" w:line="142"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year ended December 31, 2020,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has determined that Ms. Karen Sarid and Ms. Eti Mitrany are audit committee financial experts. Ms. Karen Sarid and Ms. Eti Mitrany are independent directors for the purposes of The Nasdaq Listing Rules.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Annual Report, we have adopted a code of ethics that applies to our principal executive officer, principal financial officer, principal</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accounting officer or controller, or persons performing similar functions. This code of ethics is posted on our website, https://investors.brainsway.com/static-files/4f9e73f4-18d6-409a-b198-74984439a2e0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each of the years indicated, the aggregate fees billed by our independent registered public accounting firm for professional services.</w:t>
      </w:r>
    </w:p>
    <w:p>
      <w:pPr>
        <w:sectPr>
          <w:pgSz w:w="11900" w:h="16838" w:orient="portrait"/>
          <w:cols w:equalWidth="0" w:num="1">
            <w:col w:w="11240"/>
          </w:cols>
          <w:pgMar w:left="320" w:top="688" w:right="339" w:bottom="916"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806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Audit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Audit-related services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31750</wp:posOffset>
            </wp:positionV>
            <wp:extent cx="17056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9"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17145</wp:posOffset>
            </wp:positionV>
            <wp:extent cx="17056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-5607685</wp:posOffset>
            </wp:positionH>
            <wp:positionV relativeFrom="paragraph">
              <wp:posOffset>14605</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both"/>
        <w:ind w:left="580"/>
        <w:spacing w:after="0"/>
        <w:tabs>
          <w:tab w:leader="none" w:pos="200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190</w:t>
      </w:r>
    </w:p>
    <w:p>
      <w:pPr>
        <w:spacing w:after="0" w:line="23" w:lineRule="exact"/>
        <w:rPr>
          <w:sz w:val="20"/>
          <w:szCs w:val="20"/>
          <w:color w:val="auto"/>
        </w:rPr>
      </w:pPr>
    </w:p>
    <w:p>
      <w:pPr>
        <w:ind w:left="2120" w:hanging="1332"/>
        <w:spacing w:after="0"/>
        <w:tabs>
          <w:tab w:leader="none" w:pos="21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-5607685</wp:posOffset>
            </wp:positionH>
            <wp:positionV relativeFrom="paragraph">
              <wp:posOffset>20320</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120" w:hanging="1452"/>
        <w:spacing w:after="0"/>
        <w:tabs>
          <w:tab w:leader="none" w:pos="21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41</w:t>
      </w:r>
    </w:p>
    <w:p>
      <w:pPr>
        <w:spacing w:after="0" w:line="45" w:lineRule="exact"/>
        <w:rPr>
          <w:rFonts w:ascii="Arial" w:cs="Arial" w:eastAsia="Arial" w:hAnsi="Arial"/>
          <w:sz w:val="16"/>
          <w:szCs w:val="16"/>
          <w:color w:val="auto"/>
        </w:rPr>
      </w:pPr>
    </w:p>
    <w:p>
      <w:pPr>
        <w:ind w:left="2020" w:hanging="1442"/>
        <w:spacing w:after="0"/>
        <w:tabs>
          <w:tab w:leader="none" w:pos="2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-116205</wp:posOffset>
            </wp:positionV>
            <wp:extent cx="17056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20" w:space="720"/>
            <w:col w:w="2400"/>
          </w:cols>
          <w:pgMar w:left="320" w:top="688" w:right="339" w:bottom="916" w:gutter="0" w:footer="0" w:header="0"/>
          <w:type w:val="continuous"/>
        </w:sectPr>
      </w:pPr>
    </w:p>
    <w:p>
      <w:pPr>
        <w:spacing w:after="0" w:line="25" w:lineRule="exact"/>
        <w:rPr>
          <w:sz w:val="20"/>
          <w:szCs w:val="20"/>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Audit fees consist of services that would normally be provided in connection with statutory and regulatory filings or engagements, including services that generally only the independent accountant can reasonably provide.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Audit-related services related to work regarding ongoing consultation.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 fees relate to tax compliance, planning, and advice.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audit committee’s specific responsibilities in carrying out its oversight of the quality and integrity of the accounting, auditing, and reporting practices of the Company include the approval of audit and non-audit services to be provided by the external auditor. The audit committee approves in advance the particular services or categories of services to be provided to the Company during the following yearly period and also sets forth a specific budget for such audit and non-audit services. Additional non-audit services may be pre-approved by the audit committee.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Listing Rules and Home Country Practices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foreign private issuer whose shares are listed on The Nasdaq Global Market, we are permitted to follow certain home country corporate governance practices instead of certain requirements of the rules of The Nasdaq Global Market. Pursuant to the “foreign private issuer exemption”:</w:t>
      </w:r>
    </w:p>
    <w:p>
      <w:pPr>
        <w:spacing w:after="0" w:line="58" w:lineRule="exact"/>
        <w:rPr>
          <w:sz w:val="20"/>
          <w:szCs w:val="20"/>
          <w:color w:val="auto"/>
        </w:rPr>
      </w:pPr>
    </w:p>
    <w:p>
      <w:pPr>
        <w:jc w:val="both"/>
        <w:ind w:left="660" w:hanging="328"/>
        <w:spacing w:after="0" w:line="215" w:lineRule="auto"/>
        <w:tabs>
          <w:tab w:leader="none" w:pos="660" w:val="left"/>
        </w:tabs>
        <w:numPr>
          <w:ilvl w:val="0"/>
          <w:numId w:val="120"/>
        </w:numPr>
        <w:rPr>
          <w:rFonts w:ascii="Arial" w:cs="Arial" w:eastAsia="Arial" w:hAnsi="Arial"/>
          <w:sz w:val="36"/>
          <w:szCs w:val="36"/>
          <w:color w:val="auto"/>
          <w:vertAlign w:val="superscript"/>
        </w:rPr>
      </w:pPr>
      <w:r>
        <w:rPr>
          <w:rFonts w:ascii="Arial" w:cs="Arial" w:eastAsia="Arial" w:hAnsi="Arial"/>
          <w:sz w:val="18"/>
          <w:szCs w:val="18"/>
          <w:color w:val="auto"/>
        </w:rPr>
        <w:t>we established a quorum requirement such that the quorum for any meeting of shareholders is two or more shareholders holding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our voting rights, which complies with Nasdaq requirements; however, if the meeting is adjourned for lack of quorum, the quorum for such adjourned meeting will be any number of shareholders, instead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our voting rights;</w:t>
      </w:r>
    </w:p>
    <w:p>
      <w:pPr>
        <w:spacing w:after="0" w:line="92" w:lineRule="exact"/>
        <w:rPr>
          <w:rFonts w:ascii="Arial" w:cs="Arial" w:eastAsia="Arial" w:hAnsi="Arial"/>
          <w:sz w:val="36"/>
          <w:szCs w:val="36"/>
          <w:color w:val="auto"/>
          <w:vertAlign w:val="superscript"/>
        </w:rPr>
      </w:pPr>
    </w:p>
    <w:p>
      <w:pPr>
        <w:jc w:val="both"/>
        <w:ind w:left="660" w:hanging="328"/>
        <w:spacing w:after="0" w:line="26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approval of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approval of the compensation policy of the company for office holders; and (f) certain private placements involving the issuance of 20% or more of our total voting rights, or private placements as a result of which a person will become a controlling shareholder of the company. In addition, under the Companies Law, a merger requires approval of the shareholders of each of the merging companies;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916" w:gutter="0" w:footer="0" w:header="0"/>
          <w:type w:val="continuous"/>
        </w:sectPr>
      </w:pPr>
    </w:p>
    <w:bookmarkStart w:id="136" w:name="page137"/>
    <w:bookmarkEnd w:id="136"/>
    <w:p>
      <w:pPr>
        <w:jc w:val="both"/>
        <w:ind w:left="660" w:hanging="328"/>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permitted by the Israeli Companies Law, our board of directors selects director nominees, and we do not have a written charter or board resolution addressing the nominations process. Directors are not selected, or recommended for board of director selection, by independent directors constituting a majority of the board’s independent directors or by a nominations committee comprised solely of independent directors as required by the Nasdaq Listing Rules.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Otherwise, we comply with the rules generally applicable to U.S. domestic companies listed on The Nasdaq Global Market. However, we may in the future decide to use the foreign private issuer exemption with respect to some or all of the other Nasdaq corporate governance rules.</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found at the end of this Annual Report, beginning on page F-1.</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131.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80" w:type="dxa"/>
            <w:vAlign w:val="bottom"/>
            <w:gridSpan w:val="15"/>
          </w:tcPr>
          <w:p>
            <w:pPr>
              <w:jc w:val="center"/>
              <w:ind w:right="4500"/>
              <w:spacing w:after="0"/>
              <w:rPr>
                <w:sz w:val="20"/>
                <w:szCs w:val="20"/>
                <w:color w:val="auto"/>
              </w:rPr>
            </w:pPr>
            <w:r>
              <w:rPr>
                <w:rFonts w:ascii="Arial" w:cs="Arial" w:eastAsia="Arial" w:hAnsi="Arial"/>
                <w:sz w:val="18"/>
                <w:szCs w:val="18"/>
                <w:b w:val="1"/>
                <w:bCs w:val="1"/>
                <w:color w:val="auto"/>
                <w:w w:val="97"/>
              </w:rPr>
              <w:t>BRAINSWAY LTD</w:t>
            </w:r>
          </w:p>
        </w:tc>
        <w:tc>
          <w:tcPr>
            <w:tcW w:w="0" w:type="dxa"/>
            <w:vAlign w:val="bottom"/>
          </w:tcPr>
          <w:p>
            <w:pPr>
              <w:spacing w:after="0"/>
              <w:rPr>
                <w:sz w:val="1"/>
                <w:szCs w:val="1"/>
                <w:color w:val="auto"/>
              </w:rPr>
            </w:pPr>
          </w:p>
        </w:tc>
      </w:tr>
      <w:tr>
        <w:trPr>
          <w:trHeight w:val="392"/>
        </w:trPr>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gridSpan w:val="15"/>
          </w:tcPr>
          <w:p>
            <w:pPr>
              <w:jc w:val="center"/>
              <w:ind w:righ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w:anchor="page189">
              <w:r>
                <w:rPr>
                  <w:rFonts w:ascii="Arial" w:cs="Arial" w:eastAsia="Arial" w:hAnsi="Arial"/>
                  <w:sz w:val="18"/>
                  <w:szCs w:val="18"/>
                  <w:color w:val="0000EE"/>
                </w:rPr>
                <w:t>Articles of Association of the Registrant, as amended (unofficial English translation).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Form of Deposit Agreement between BrainsWay Ltd., The Bank of New York Mellon as Depositary, and owners and holders from time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time of ADSs issued thereunder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FF"/>
              </w:rPr>
            </w:pPr>
            <w:hyperlink r:id="rId166">
              <w:r>
                <w:rPr>
                  <w:rFonts w:ascii="Arial" w:cs="Arial" w:eastAsia="Arial" w:hAnsi="Arial"/>
                  <w:sz w:val="18"/>
                  <w:szCs w:val="18"/>
                  <w:color w:val="0000FF"/>
                </w:rPr>
                <w:t>Form of American Depositary Receipt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Description of Share Capital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w:anchor="page228">
              <w:r>
                <w:rPr>
                  <w:rFonts w:ascii="Arial" w:cs="Arial" w:eastAsia="Arial" w:hAnsi="Arial"/>
                  <w:sz w:val="18"/>
                  <w:szCs w:val="18"/>
                  <w:color w:val="0000EE"/>
                </w:rPr>
                <w:t>BrainsWay 2019 Share Incentive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r:id="rId168">
              <w:r>
                <w:rPr>
                  <w:rFonts w:ascii="Arial" w:cs="Arial" w:eastAsia="Arial" w:hAnsi="Arial"/>
                  <w:sz w:val="18"/>
                  <w:szCs w:val="18"/>
                  <w:color w:val="0000EE"/>
                </w:rPr>
                <w:t>Form of Letter of Exculpation and Indemnification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BrainsWay Compensation Policy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FF"/>
                <w:w w:val="95"/>
              </w:rPr>
            </w:pPr>
            <w:hyperlink r:id="rId170">
              <w:r>
                <w:rPr>
                  <w:rFonts w:ascii="Arial" w:cs="Arial" w:eastAsia="Arial" w:hAnsi="Arial"/>
                  <w:sz w:val="18"/>
                  <w:szCs w:val="18"/>
                  <w:color w:val="0000FF"/>
                  <w:w w:val="95"/>
                </w:rPr>
                <w:t>Employment Agreement, dated April 3, 2006, by and between Brain Research and Development Services Ltd. and Dr. Yiftach Roth,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amended by First Amendment to Employment Agreement, dated May 9, 2006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Employment Agreement, dated November 24, 2019, between BrainsWay Ltd. and Christopher Von Jako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r:id="rId172">
              <w:r>
                <w:rPr>
                  <w:rFonts w:ascii="Arial" w:cs="Arial" w:eastAsia="Arial" w:hAnsi="Arial"/>
                  <w:sz w:val="18"/>
                  <w:szCs w:val="18"/>
                  <w:color w:val="0000EE"/>
                </w:rPr>
                <w:t>Employment Agreement, dated July 25, 2019, between BrainsWay Inc. and Hadar Levy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Patent License Agreement, dated July 7, 2003, by and between BrainsWay, Inc. and the United States Public Health Service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8"/>
              </w:rPr>
            </w:pPr>
            <w:hyperlink r:id="rId174">
              <w:r>
                <w:rPr>
                  <w:rFonts w:ascii="Arial" w:cs="Arial" w:eastAsia="Arial" w:hAnsi="Arial"/>
                  <w:sz w:val="18"/>
                  <w:szCs w:val="18"/>
                  <w:color w:val="0000FF"/>
                  <w:w w:val="98"/>
                </w:rPr>
                <w:t>Patent License Amendment, dated August 24, 2005, by and between BrainsWay, Inc. and the United States Public Health Service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Second Amendment to Patent License Agreement, dated April 17, 2008, by and between BrainsWay, Inc. and the United States Public Health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Service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Research and License Agreement, dated June 2, 2005, by and between BrainsWay, Inc. and Yeda Research and Development Company Ltd.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4.11</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First Addendum Agreement, dated August 19, 2007, by and between BrainsWay, Inc. and Yeda Research and Development Company Ltd.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4.12</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Second Addendum Agreement, dated January 18, 2009, by and between BrainsWay, Inc. and Yeda Research and Development Company Ltd.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4.13</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Third Addendum Agreement, dated March 23, 2010, by and between BrainsWay, Inc. and Yeda Research and Development Company Ltd.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4.14</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8"/>
              </w:rPr>
            </w:pPr>
            <w:hyperlink r:id="rId180">
              <w:r>
                <w:rPr>
                  <w:rFonts w:ascii="Arial" w:cs="Arial" w:eastAsia="Arial" w:hAnsi="Arial"/>
                  <w:sz w:val="18"/>
                  <w:szCs w:val="18"/>
                  <w:color w:val="0000FF"/>
                  <w:w w:val="98"/>
                </w:rPr>
                <w:t>Fourth Addendum Agreement, dated November 12, 2009, by and between BrainsWay, Inc. and Yeda Research and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Company Ltd.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4.15</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FF"/>
                <w:w w:val="98"/>
              </w:rPr>
            </w:pPr>
            <w:hyperlink r:id="rId181">
              <w:r>
                <w:rPr>
                  <w:rFonts w:ascii="Arial" w:cs="Arial" w:eastAsia="Arial" w:hAnsi="Arial"/>
                  <w:sz w:val="18"/>
                  <w:szCs w:val="18"/>
                  <w:color w:val="0000FF"/>
                  <w:w w:val="98"/>
                </w:rPr>
                <w:t>First Amendment to Fourth Addendum Agreement, dated May 11, 2010, by and between BrainsWay, Inc. and Yeda Research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Development Company Ltd.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4.16</w:t>
            </w:r>
          </w:p>
        </w:tc>
        <w:tc>
          <w:tcPr>
            <w:tcW w:w="10220" w:type="dxa"/>
            <w:vAlign w:val="bottom"/>
            <w:tcBorders>
              <w:bottom w:val="single" w:sz="8" w:color="0000FF"/>
              <w:right w:val="single" w:sz="8" w:color="CCEEFF"/>
            </w:tcBorders>
            <w:gridSpan w:val="20"/>
            <w:shd w:val="clear" w:color="auto" w:fill="CCEEFF"/>
          </w:tcPr>
          <w:p>
            <w:pPr>
              <w:spacing w:after="0" w:line="176"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Fifth Addendum Agreement, dated February 22, 2018, by and between BrainsWay, Inc. and Yeda Research and Development Company Ltd.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8.1</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FF"/>
              </w:rPr>
            </w:pPr>
            <w:hyperlink r:id="rId183">
              <w:r>
                <w:rPr>
                  <w:rFonts w:ascii="Arial" w:cs="Arial" w:eastAsia="Arial" w:hAnsi="Arial"/>
                  <w:sz w:val="18"/>
                  <w:szCs w:val="18"/>
                  <w:color w:val="0000FF"/>
                </w:rPr>
                <w:t>List of Subsidiaries (incorporated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12.1</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w:anchor="page261">
              <w:r>
                <w:rPr>
                  <w:rFonts w:ascii="Arial" w:cs="Arial" w:eastAsia="Arial" w:hAnsi="Arial"/>
                  <w:sz w:val="18"/>
                  <w:szCs w:val="18"/>
                  <w:color w:val="0000EE"/>
                </w:rPr>
                <w:t>Certification by Chief Executive Officer pursuant to Section 302 of the Sarbanes-Oxley Act of 2002.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12.2</w:t>
            </w:r>
          </w:p>
        </w:tc>
        <w:tc>
          <w:tcPr>
            <w:tcW w:w="102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w:anchor="page262">
              <w:r>
                <w:rPr>
                  <w:rFonts w:ascii="Arial" w:cs="Arial" w:eastAsia="Arial" w:hAnsi="Arial"/>
                  <w:sz w:val="18"/>
                  <w:szCs w:val="18"/>
                  <w:color w:val="0000EE"/>
                </w:rPr>
                <w:t>Certification by Chief Financial Officer pursuant to Section 302 of the Sarbanes-Oxley Act of 2002.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1012"/>
        <w:spacing w:after="0"/>
        <w:tabs>
          <w:tab w:leader="none" w:pos="1020" w:val="left"/>
        </w:tabs>
        <w:numPr>
          <w:ilvl w:val="0"/>
          <w:numId w:val="122"/>
        </w:numPr>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Certification by Chief Executive Officer and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15.1</w:t>
            </w:r>
          </w:p>
        </w:tc>
        <w:tc>
          <w:tcPr>
            <w:tcW w:w="10560" w:type="dxa"/>
            <w:vAlign w:val="bottom"/>
            <w:gridSpan w:val="3"/>
            <w:shd w:val="clear" w:color="auto" w:fill="CCEEFF"/>
          </w:tcPr>
          <w:p>
            <w:pPr>
              <w:ind w:left="340"/>
              <w:spacing w:after="0"/>
              <w:rPr>
                <w:rFonts w:ascii="Arial" w:cs="Arial" w:eastAsia="Arial" w:hAnsi="Arial"/>
                <w:sz w:val="18"/>
                <w:szCs w:val="18"/>
                <w:color w:val="0000EE"/>
              </w:rPr>
            </w:pPr>
            <w:hyperlink w:anchor="page264">
              <w:r>
                <w:rPr>
                  <w:rFonts w:ascii="Arial" w:cs="Arial" w:eastAsia="Arial" w:hAnsi="Arial"/>
                  <w:sz w:val="18"/>
                  <w:szCs w:val="18"/>
                  <w:color w:val="0000EE"/>
                </w:rPr>
                <w:t>Consent of Kost Forer Gabbay &amp; Kasierer, Member Firm of Ernst &amp; Young Global.</w:t>
              </w:r>
            </w:hyperlink>
          </w:p>
        </w:tc>
      </w:tr>
      <w:tr>
        <w:trPr>
          <w:trHeight w:val="216"/>
        </w:trPr>
        <w:tc>
          <w:tcPr>
            <w:tcW w:w="6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40" w:type="dxa"/>
            <w:vAlign w:val="bottom"/>
            <w:tcBorders>
              <w:top w:val="single" w:sz="8" w:color="0000EE"/>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5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The following financial statements from the Company’s 20-F for the fiscal year ended December 31, 2020 formatted in XBRL:</w:t>
            </w:r>
          </w:p>
        </w:tc>
      </w:tr>
      <w:tr>
        <w:trPr>
          <w:trHeight w:val="216"/>
        </w:trPr>
        <w:tc>
          <w:tcPr>
            <w:tcW w:w="68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(i) Consolidated Statements of Comprehensive Loss, (ii) Consolidated Statements of Financial Position, (iii) Consolidated Statements of</w:t>
            </w:r>
          </w:p>
        </w:tc>
      </w:tr>
      <w:tr>
        <w:trPr>
          <w:trHeight w:val="230"/>
        </w:trPr>
        <w:tc>
          <w:tcPr>
            <w:tcW w:w="680" w:type="dxa"/>
            <w:vAlign w:val="bottom"/>
            <w:shd w:val="clear" w:color="auto" w:fill="CCEEFF"/>
          </w:tcPr>
          <w:p>
            <w:pPr>
              <w:spacing w:after="0"/>
              <w:rPr>
                <w:sz w:val="20"/>
                <w:szCs w:val="20"/>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Changes in Equity, (iv) Consolidated Statements of Cash Flows, and (v) Notes to the Consolidated Financial Statements.</w:t>
            </w:r>
          </w:p>
        </w:tc>
      </w:tr>
      <w:tr>
        <w:trPr>
          <w:trHeight w:val="648"/>
        </w:trPr>
        <w:tc>
          <w:tcPr>
            <w:tcW w:w="680" w:type="dxa"/>
            <w:vAlign w:val="bottom"/>
          </w:tcPr>
          <w:p>
            <w:pPr>
              <w:spacing w:after="0"/>
              <w:rPr>
                <w:sz w:val="24"/>
                <w:szCs w:val="24"/>
                <w:color w:val="auto"/>
              </w:rPr>
            </w:pPr>
          </w:p>
        </w:tc>
        <w:tc>
          <w:tcPr>
            <w:tcW w:w="6380" w:type="dxa"/>
            <w:vAlign w:val="bottom"/>
            <w:gridSpan w:val="2"/>
          </w:tcPr>
          <w:p>
            <w:pPr>
              <w:jc w:val="right"/>
              <w:ind w:right="1300"/>
              <w:spacing w:after="0"/>
              <w:rPr>
                <w:sz w:val="20"/>
                <w:szCs w:val="20"/>
                <w:color w:val="auto"/>
              </w:rPr>
            </w:pPr>
            <w:r>
              <w:rPr>
                <w:rFonts w:ascii="Arial" w:cs="Arial" w:eastAsia="Arial" w:hAnsi="Arial"/>
                <w:sz w:val="18"/>
                <w:szCs w:val="18"/>
                <w:color w:val="auto"/>
              </w:rPr>
              <w:t>131</w:t>
            </w:r>
          </w:p>
        </w:tc>
        <w:tc>
          <w:tcPr>
            <w:tcW w:w="4180" w:type="dxa"/>
            <w:vAlign w:val="bottom"/>
          </w:tcPr>
          <w:p>
            <w:pPr>
              <w:spacing w:after="0"/>
              <w:rPr>
                <w:sz w:val="24"/>
                <w:szCs w:val="24"/>
                <w:color w:val="auto"/>
              </w:rPr>
            </w:pPr>
          </w:p>
        </w:tc>
      </w:tr>
      <w:tr>
        <w:trPr>
          <w:trHeight w:val="67"/>
        </w:trPr>
        <w:tc>
          <w:tcPr>
            <w:tcW w:w="6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040" w:type="dxa"/>
            <w:vAlign w:val="bottom"/>
            <w:shd w:val="clear" w:color="auto" w:fill="000000"/>
          </w:tcPr>
          <w:p>
            <w:pPr>
              <w:spacing w:after="0"/>
              <w:rPr>
                <w:sz w:val="5"/>
                <w:szCs w:val="5"/>
                <w:color w:val="auto"/>
              </w:rPr>
            </w:pPr>
          </w:p>
        </w:tc>
        <w:tc>
          <w:tcPr>
            <w:tcW w:w="4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8" w:right="339" w:bottom="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BRAINSWAY LTD.</w:t>
      </w:r>
    </w:p>
    <w:p>
      <w:pPr>
        <w:sectPr>
          <w:pgSz w:w="11900" w:h="16838" w:orient="portrait"/>
          <w:cols w:equalWidth="0" w:num="1">
            <w:col w:w="11240"/>
          </w:cols>
          <w:pgMar w:left="320" w:top="1120" w:right="339" w:bottom="1440" w:gutter="0" w:footer="0" w:header="0"/>
        </w:sectPr>
      </w:pPr>
    </w:p>
    <w:p>
      <w:pPr>
        <w:spacing w:after="0" w:line="24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Christopher R. von Jako,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R. von Jako,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Hadar Levy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Manager North America and Interim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ectPr>
          <w:pgSz w:w="11900" w:h="16838" w:orient="portrait"/>
          <w:cols w:equalWidth="0" w:num="2">
            <w:col w:w="7240" w:space="80"/>
            <w:col w:w="3920"/>
          </w:cols>
          <w:pgMar w:left="320" w:top="1120"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 April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323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80" w:type="dxa"/>
            <w:vAlign w:val="bottom"/>
            <w:gridSpan w:val="8"/>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Audited Consolidated Financial Statements as of and for the Years ended December 31, 2020, 2019 and 2018</w:t>
              </w:r>
            </w:hyperlink>
          </w:p>
        </w:tc>
        <w:tc>
          <w:tcPr>
            <w:tcW w:w="1960" w:type="dxa"/>
            <w:vAlign w:val="bottom"/>
            <w:gridSpan w:val="3"/>
            <w:shd w:val="clear" w:color="auto" w:fill="CCEEFF"/>
          </w:tcPr>
          <w:p>
            <w:pPr>
              <w:ind w:left="1380"/>
              <w:spacing w:after="0"/>
              <w:rPr>
                <w:rFonts w:ascii="Arial" w:cs="Arial" w:eastAsia="Arial" w:hAnsi="Arial"/>
                <w:sz w:val="18"/>
                <w:szCs w:val="18"/>
                <w:color w:val="0000EE"/>
              </w:rPr>
            </w:pPr>
            <w:hyperlink w:anchor="page141">
              <w:r>
                <w:rPr>
                  <w:rFonts w:ascii="Arial" w:cs="Arial" w:eastAsia="Arial" w:hAnsi="Arial"/>
                  <w:sz w:val="18"/>
                  <w:szCs w:val="18"/>
                  <w:color w:val="0000EE"/>
                </w:rPr>
                <w:t>F-2</w:t>
              </w:r>
            </w:hyperlink>
          </w:p>
        </w:tc>
      </w:tr>
      <w:tr>
        <w:trPr>
          <w:trHeight w:val="175"/>
        </w:trPr>
        <w:tc>
          <w:tcPr>
            <w:tcW w:w="788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Report of Independent Registered Public Accounting Firm</w:t>
              </w:r>
            </w:hyperlink>
          </w:p>
        </w:tc>
        <w:tc>
          <w:tcPr>
            <w:tcW w:w="140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tcPr>
          <w:p>
            <w:pPr>
              <w:spacing w:after="0" w:line="17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F-3</w:t>
              </w:r>
            </w:hyperlink>
          </w:p>
        </w:tc>
        <w:tc>
          <w:tcPr>
            <w:tcW w:w="320" w:type="dxa"/>
            <w:vAlign w:val="bottom"/>
            <w:tcBorders>
              <w:top w:val="single" w:sz="8" w:color="CCEEFF"/>
            </w:tcBorders>
          </w:tcPr>
          <w:p>
            <w:pPr>
              <w:spacing w:after="0"/>
              <w:rPr>
                <w:sz w:val="15"/>
                <w:szCs w:val="15"/>
                <w:color w:val="auto"/>
              </w:rPr>
            </w:pP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Consolidated Statements of Financial Position</w:t>
              </w:r>
            </w:hyperlink>
          </w:p>
        </w:tc>
        <w:tc>
          <w:tcPr>
            <w:tcW w:w="5940" w:type="dxa"/>
            <w:vAlign w:val="bottom"/>
            <w:tcBorders>
              <w:bottom w:val="single" w:sz="8" w:color="CCEEFF"/>
            </w:tcBorders>
            <w:gridSpan w:val="5"/>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F-4</w:t>
              </w:r>
            </w:hyperlink>
          </w:p>
        </w:tc>
        <w:tc>
          <w:tcPr>
            <w:tcW w:w="320" w:type="dxa"/>
            <w:vAlign w:val="bottom"/>
            <w:tcBorders>
              <w:bottom w:val="single" w:sz="8" w:color="CCEEFF"/>
            </w:tcBorders>
            <w:shd w:val="clear" w:color="auto" w:fill="CCEEFF"/>
          </w:tcPr>
          <w:p>
            <w:pPr>
              <w:spacing w:after="0"/>
              <w:rPr>
                <w:sz w:val="17"/>
                <w:szCs w:val="17"/>
                <w:color w:val="auto"/>
              </w:rPr>
            </w:pPr>
          </w:p>
        </w:tc>
      </w:tr>
      <w:tr>
        <w:trPr>
          <w:trHeight w:val="176"/>
        </w:trPr>
        <w:tc>
          <w:tcPr>
            <w:tcW w:w="9280" w:type="dxa"/>
            <w:vAlign w:val="bottom"/>
            <w:gridSpan w:val="8"/>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Comprehensive Loss</w:t>
              </w:r>
            </w:hyperlink>
          </w:p>
        </w:tc>
        <w:tc>
          <w:tcPr>
            <w:tcW w:w="1960" w:type="dxa"/>
            <w:vAlign w:val="bottom"/>
            <w:gridSpan w:val="3"/>
          </w:tcPr>
          <w:p>
            <w:pPr>
              <w:ind w:left="1380"/>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F-5</w:t>
              </w:r>
            </w:hyperlink>
          </w:p>
        </w:tc>
      </w:tr>
      <w:tr>
        <w:trPr>
          <w:trHeight w:val="20"/>
        </w:trPr>
        <w:tc>
          <w:tcPr>
            <w:tcW w:w="2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280" w:type="dxa"/>
            <w:vAlign w:val="bottom"/>
            <w:gridSpan w:val="8"/>
            <w:shd w:val="clear" w:color="auto" w:fill="CCEEFF"/>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Changes in Equity</w:t>
              </w:r>
            </w:hyperlink>
          </w:p>
        </w:tc>
        <w:tc>
          <w:tcPr>
            <w:tcW w:w="1960" w:type="dxa"/>
            <w:vAlign w:val="bottom"/>
            <w:gridSpan w:val="3"/>
            <w:shd w:val="clear" w:color="auto" w:fill="CCEEFF"/>
          </w:tcPr>
          <w:p>
            <w:pPr>
              <w:ind w:left="1380"/>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F-6</w:t>
              </w:r>
            </w:hyperlink>
          </w:p>
        </w:tc>
      </w:tr>
      <w:tr>
        <w:trPr>
          <w:trHeight w:val="175"/>
        </w:trPr>
        <w:tc>
          <w:tcPr>
            <w:tcW w:w="33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Cash Flows</w:t>
              </w:r>
            </w:hyperlink>
          </w:p>
        </w:tc>
        <w:tc>
          <w:tcPr>
            <w:tcW w:w="5920" w:type="dxa"/>
            <w:vAlign w:val="bottom"/>
            <w:tcBorders>
              <w:top w:val="single" w:sz="8" w:color="CCEEFF"/>
            </w:tcBorders>
            <w:gridSpan w:val="4"/>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tcPr>
          <w:p>
            <w:pPr>
              <w:spacing w:after="0" w:line="17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F-7</w:t>
              </w:r>
            </w:hyperlink>
          </w:p>
        </w:tc>
        <w:tc>
          <w:tcPr>
            <w:tcW w:w="320" w:type="dxa"/>
            <w:vAlign w:val="bottom"/>
            <w:tcBorders>
              <w:top w:val="single" w:sz="8" w:color="CCEEFF"/>
            </w:tcBorders>
          </w:tcPr>
          <w:p>
            <w:pPr>
              <w:spacing w:after="0"/>
              <w:rPr>
                <w:sz w:val="15"/>
                <w:szCs w:val="15"/>
                <w:color w:val="auto"/>
              </w:rPr>
            </w:pP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280" w:type="dxa"/>
            <w:vAlign w:val="bottom"/>
            <w:gridSpan w:val="8"/>
            <w:shd w:val="clear" w:color="auto" w:fill="CCEEFF"/>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Notes to Consolidated Financial Statements</w:t>
              </w:r>
            </w:hyperlink>
          </w:p>
        </w:tc>
        <w:tc>
          <w:tcPr>
            <w:tcW w:w="1960" w:type="dxa"/>
            <w:vAlign w:val="bottom"/>
            <w:gridSpan w:val="3"/>
            <w:shd w:val="clear" w:color="auto" w:fill="CCEEFF"/>
          </w:tcPr>
          <w:p>
            <w:pPr>
              <w:ind w:left="13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F-8</w:t>
              </w:r>
            </w:hyperlink>
          </w:p>
        </w:tc>
      </w:tr>
      <w:tr>
        <w:trPr>
          <w:trHeight w:val="864"/>
        </w:trPr>
        <w:tc>
          <w:tcPr>
            <w:tcW w:w="2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060" w:type="dxa"/>
            <w:vAlign w:val="bottom"/>
            <w:tcBorders>
              <w:top w:val="single" w:sz="8" w:color="CCEEFF"/>
            </w:tcBorders>
            <w:gridSpan w:val="2"/>
          </w:tcPr>
          <w:p>
            <w:pPr>
              <w:ind w:left="1280"/>
              <w:spacing w:after="0"/>
              <w:rPr>
                <w:sz w:val="20"/>
                <w:szCs w:val="20"/>
                <w:color w:val="auto"/>
              </w:rPr>
            </w:pPr>
            <w:r>
              <w:rPr>
                <w:rFonts w:ascii="Arial" w:cs="Arial" w:eastAsia="Arial" w:hAnsi="Arial"/>
                <w:sz w:val="18"/>
                <w:szCs w:val="18"/>
                <w:color w:val="auto"/>
              </w:rPr>
              <w:t>F-1</w:t>
            </w:r>
          </w:p>
        </w:tc>
        <w:tc>
          <w:tcPr>
            <w:tcW w:w="138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68"/>
        </w:trPr>
        <w:tc>
          <w:tcPr>
            <w:tcW w:w="28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4"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left="600" w:right="619"/>
        <w:spacing w:after="0" w:line="282" w:lineRule="auto"/>
        <w:rPr>
          <w:sz w:val="20"/>
          <w:szCs w:val="20"/>
          <w:color w:val="auto"/>
        </w:rPr>
      </w:pPr>
      <w:r>
        <w:rPr>
          <w:rFonts w:ascii="Arial" w:cs="Arial" w:eastAsia="Arial" w:hAnsi="Arial"/>
          <w:sz w:val="18"/>
          <w:szCs w:val="18"/>
          <w:b w:val="1"/>
          <w:bCs w:val="1"/>
          <w:color w:val="auto"/>
        </w:rPr>
        <w:t>AUDITED CONSOLIDATED FINANCIAL STATEMENTS AS OF AND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41" w:name="page142"/>
    <w:bookmarkEnd w:id="141"/>
    <w:p>
      <w:pPr>
        <w:ind w:left="6640"/>
        <w:spacing w:after="0"/>
        <w:rPr>
          <w:sz w:val="20"/>
          <w:szCs w:val="20"/>
          <w:color w:val="auto"/>
        </w:rPr>
      </w:pPr>
      <w:r>
        <w:rPr>
          <w:rFonts w:ascii="Arial" w:cs="Arial" w:eastAsia="Arial" w:hAnsi="Arial"/>
          <w:sz w:val="14"/>
          <w:szCs w:val="14"/>
          <w:b w:val="1"/>
          <w:bCs w:val="1"/>
          <w:color w:val="808080"/>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556895" cy="651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556895" cy="65151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3"/>
          <w:szCs w:val="13"/>
          <w:color w:val="808080"/>
        </w:rPr>
        <w:t>144 Menachem Begin Road, Building</w:t>
      </w:r>
    </w:p>
    <w:p>
      <w:pPr>
        <w:ind w:left="6640"/>
        <w:spacing w:after="0" w:line="221" w:lineRule="auto"/>
        <w:rPr>
          <w:sz w:val="20"/>
          <w:szCs w:val="20"/>
          <w:color w:val="auto"/>
        </w:rPr>
      </w:pPr>
      <w:r>
        <w:rPr>
          <w:rFonts w:ascii="Arial" w:cs="Arial" w:eastAsia="Arial" w:hAnsi="Arial"/>
          <w:sz w:val="14"/>
          <w:szCs w:val="14"/>
          <w:color w:val="808080"/>
        </w:rPr>
        <w:t>A</w:t>
      </w:r>
    </w:p>
    <w:p>
      <w:pPr>
        <w:ind w:left="6640"/>
        <w:spacing w:after="0"/>
        <w:rPr>
          <w:sz w:val="20"/>
          <w:szCs w:val="20"/>
          <w:color w:val="auto"/>
        </w:rPr>
      </w:pPr>
      <w:r>
        <w:rPr>
          <w:rFonts w:ascii="Arial" w:cs="Arial" w:eastAsia="Arial" w:hAnsi="Arial"/>
          <w:sz w:val="14"/>
          <w:szCs w:val="14"/>
          <w:color w:val="808080"/>
        </w:rPr>
        <w:t>Tel-Aviv 6492102, Israel</w:t>
      </w:r>
    </w:p>
    <w:p>
      <w:pPr>
        <w:spacing w:after="0" w:line="20" w:lineRule="exact"/>
        <w:rPr>
          <w:sz w:val="20"/>
          <w:szCs w:val="20"/>
          <w:color w:val="auto"/>
        </w:rPr>
      </w:pPr>
      <w:r>
        <w:rPr>
          <w:sz w:val="20"/>
          <w:szCs w:val="20"/>
          <w:color w:val="auto"/>
        </w:rPr>
        <w:br w:type="column"/>
      </w:r>
    </w:p>
    <w:p>
      <w:pPr>
        <w:jc w:val="both"/>
        <w:ind w:right="980"/>
        <w:spacing w:after="0" w:line="238" w:lineRule="auto"/>
        <w:rPr>
          <w:sz w:val="20"/>
          <w:szCs w:val="20"/>
          <w:color w:val="auto"/>
        </w:rPr>
      </w:pPr>
      <w:r>
        <w:rPr>
          <w:rFonts w:ascii="Arial" w:cs="Arial" w:eastAsia="Arial" w:hAnsi="Arial"/>
          <w:sz w:val="14"/>
          <w:szCs w:val="14"/>
          <w:color w:val="808080"/>
        </w:rPr>
        <w:t>Tel: +972-3-6232525 Fax: +972-3-5622555 ey.com</w:t>
      </w:r>
    </w:p>
    <w:p>
      <w:pPr>
        <w:spacing w:after="0" w:line="339" w:lineRule="exact"/>
        <w:rPr>
          <w:sz w:val="20"/>
          <w:szCs w:val="20"/>
          <w:color w:val="auto"/>
        </w:rPr>
      </w:pPr>
    </w:p>
    <w:p>
      <w:pPr>
        <w:sectPr>
          <w:pgSz w:w="11900" w:h="16838" w:orient="portrait"/>
          <w:cols w:equalWidth="0" w:num="2">
            <w:col w:w="8880" w:space="120"/>
            <w:col w:w="2240"/>
          </w:cols>
          <w:pgMar w:left="320" w:top="1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Shareholders and the Board of Directors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statements of the financial position of Brainsway Ltd. and its subsidiaries (“the Company”) as of December 31, 2020 and 2019, and the related consolidated statements of comprehensive loss, changes in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International Financial Reporting Standards (“IFRS”), as issued by the International Accounting Standards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7"/>
              </w:rPr>
              <w:t>BRAINSWAY LTD.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88"/>
              </w:rPr>
              <w:t>U.S. dollars in thousands (except share and per share data)</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80" w:type="dxa"/>
            <w:vAlign w:val="bottom"/>
            <w:vMerge w:val="restart"/>
          </w:tcPr>
          <w:p>
            <w:pPr>
              <w:ind w:left="360"/>
              <w:spacing w:after="0"/>
              <w:rPr>
                <w:sz w:val="20"/>
                <w:szCs w:val="20"/>
                <w:color w:val="auto"/>
              </w:rPr>
            </w:pPr>
            <w:r>
              <w:rPr>
                <w:rFonts w:ascii="Arial" w:cs="Arial" w:eastAsia="Arial" w:hAnsi="Arial"/>
                <w:sz w:val="18"/>
                <w:szCs w:val="18"/>
                <w:color w:val="auto"/>
              </w:rPr>
              <w:t>ASSETS</w:t>
            </w: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rPr>
              <w:t>Note</w:t>
            </w: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16,961</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21,674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accounts receivable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24,298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28,829</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Long-term deposit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 systems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System components and other property and equipment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4,352</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9,713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38,736</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LIABILITIES AND EQUITY</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Trade payables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accounts payable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in respect of research and development grants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12d</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Deferred revenues and other liabilities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16b,e,g</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in respect of research and development grants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12d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Warrants</w:t>
            </w:r>
          </w:p>
        </w:tc>
        <w:tc>
          <w:tcPr>
            <w:tcW w:w="14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12c</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EQUITY: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Share premium</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95,135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93,649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2"/>
        </w:trPr>
        <w:tc>
          <w:tcPr>
            <w:tcW w:w="6980" w:type="dxa"/>
            <w:vAlign w:val="bottom"/>
          </w:tcPr>
          <w:p>
            <w:pPr>
              <w:ind w:left="180"/>
              <w:spacing w:after="0" w:line="201" w:lineRule="exact"/>
              <w:rPr>
                <w:sz w:val="20"/>
                <w:szCs w:val="20"/>
                <w:color w:val="auto"/>
              </w:rPr>
            </w:pPr>
            <w:r>
              <w:rPr>
                <w:rFonts w:ascii="Arial" w:cs="Arial" w:eastAsia="Arial" w:hAnsi="Arial"/>
                <w:sz w:val="18"/>
                <w:szCs w:val="18"/>
                <w:color w:val="auto"/>
              </w:rPr>
              <w:t>Adjustments arising from translating financial statements from functional currency to</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presentation currency</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34,011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38,736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7"/>
              </w:rPr>
              <w:t>BRAINSWAY LTD.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54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U.S. dollars in thousands (except share and per share data)</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b w:val="1"/>
                <w:bCs w:val="1"/>
                <w:color w:val="auto"/>
              </w:rPr>
              <w:t>Note</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19a</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23,101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16,397</w:t>
            </w:r>
          </w:p>
        </w:tc>
      </w:tr>
      <w:tr>
        <w:trPr>
          <w:trHeight w:val="229"/>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5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3"/>
              </w:rPr>
              <w:t>19b</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3,589</w:t>
            </w: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12,808</w:t>
            </w:r>
          </w:p>
        </w:tc>
      </w:tr>
      <w:tr>
        <w:trPr>
          <w:trHeight w:val="216"/>
        </w:trPr>
        <w:tc>
          <w:tcPr>
            <w:tcW w:w="3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88"/>
              </w:rPr>
              <w:t>Research and development expenses, net</w:t>
            </w:r>
          </w:p>
        </w:tc>
        <w:tc>
          <w:tcPr>
            <w:tcW w:w="2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19c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5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19d</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8,345</w:t>
            </w:r>
          </w:p>
        </w:tc>
      </w:tr>
      <w:tr>
        <w:trPr>
          <w:trHeight w:val="22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19e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r>
      <w:tr>
        <w:trPr>
          <w:trHeight w:val="210"/>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5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17,922</w:t>
            </w: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r>
      <w:tr>
        <w:trPr>
          <w:trHeight w:val="229"/>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25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5"/>
              </w:rPr>
              <w:t>19f</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w:t>
            </w:r>
          </w:p>
        </w:tc>
      </w:tr>
      <w:tr>
        <w:trPr>
          <w:trHeight w:val="210"/>
        </w:trPr>
        <w:tc>
          <w:tcPr>
            <w:tcW w:w="30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6,270</w:t>
            </w:r>
          </w:p>
        </w:tc>
      </w:tr>
      <w:tr>
        <w:trPr>
          <w:trHeight w:val="22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15b</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63"/>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Net loss and total comprehensive loss</w:t>
            </w:r>
          </w:p>
        </w:tc>
        <w:tc>
          <w:tcPr>
            <w:tcW w:w="25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6,479</w:t>
            </w:r>
          </w:p>
        </w:tc>
      </w:tr>
      <w:tr>
        <w:trPr>
          <w:trHeight w:val="197"/>
        </w:trPr>
        <w:tc>
          <w:tcPr>
            <w:tcW w:w="3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3880" w:type="dxa"/>
            <w:vAlign w:val="bottom"/>
            <w:tcBorders>
              <w:bottom w:val="single" w:sz="8" w:color="CCEEFF"/>
            </w:tcBorders>
            <w:gridSpan w:val="2"/>
            <w:shd w:val="clear" w:color="auto" w:fill="CCEEFF"/>
          </w:tcPr>
          <w:p>
            <w:pPr>
              <w:jc w:val="center"/>
              <w:ind w:left="2450"/>
              <w:spacing w:after="0" w:line="190" w:lineRule="exact"/>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r>
      <w:tr>
        <w:trPr>
          <w:trHeight w:val="20"/>
        </w:trPr>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arising from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translating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financial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statements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from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Reserve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functional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share-based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currency to</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w:t>
            </w: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payment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presentation</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premium</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transactions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currency</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12,721</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w w:val="93"/>
              </w:rPr>
              <w:t>Net loss and total comprehensive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710</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Balance at 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67,193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6,952</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w w:val="93"/>
              </w:rPr>
              <w:t>Net loss and total comprehensive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(10,328)</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net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26,333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w w:val="99"/>
              </w:rPr>
              <w:t>Balance at December 31, 2019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24,220</w:t>
            </w: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loss and total comprehensive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Forfeiture of share 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Expiration of share 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share-based payment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9"/>
              </w:rPr>
              <w:t>Balance at December 31, 2020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19,634</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hanging="650"/>
        <w:spacing w:after="0"/>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Net of issuance expenses of $ 2,290.</w:t>
      </w:r>
    </w:p>
    <w:p>
      <w:pPr>
        <w:spacing w:after="0" w:line="23" w:lineRule="exact"/>
        <w:rPr>
          <w:sz w:val="20"/>
          <w:szCs w:val="20"/>
          <w:color w:val="auto"/>
        </w:rPr>
      </w:pPr>
    </w:p>
    <w:p>
      <w:pPr>
        <w:ind w:left="860" w:hanging="650"/>
        <w:spacing w:after="0"/>
        <w:tabs>
          <w:tab w:leader="none" w:pos="8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amounts less than $ 1.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2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(10,328)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profit or loss items: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leased systems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Withdrawal of lease due to termination of contract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share-based payment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710</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09"/>
        </w:trPr>
        <w:tc>
          <w:tcPr>
            <w:tcW w:w="53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3,304</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 and liability items: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Increase in trade receivables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accounts receivable</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Decrease in long-term prepaid expenses and other assets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Increase (decrease) in other accounts payable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revenues and other liabilities</w:t>
            </w:r>
          </w:p>
        </w:tc>
        <w:tc>
          <w:tcPr>
            <w:tcW w:w="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0"/>
        </w:trPr>
        <w:tc>
          <w:tcPr>
            <w:tcW w:w="53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paid and received during the year for:</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Interest paid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paid</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10"/>
        </w:trPr>
        <w:tc>
          <w:tcPr>
            <w:tcW w:w="5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1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 of property and equipment and system components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Withdrawal of (investment in) short-term deposits, net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Withdrawal of long-term deposits, net</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9"/>
        </w:trPr>
        <w:tc>
          <w:tcPr>
            <w:tcW w:w="538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Receipt (repayment) of loan from bank, net</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Receipt of government grants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7"/>
              </w:rPr>
              <w:t>Repayment of liability in respect of research and development grants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Repayment of lease liability</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net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22,474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 on cash and cash equivalents</w:t>
            </w: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(5,541)</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14,509</w:t>
            </w:r>
          </w:p>
        </w:tc>
      </w:tr>
      <w:tr>
        <w:trPr>
          <w:trHeight w:val="26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year</w:t>
            </w:r>
          </w:p>
        </w:tc>
        <w:tc>
          <w:tcPr>
            <w:tcW w:w="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21,674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8,968</w:t>
            </w: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Significant non-cash transactions:</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 of property and equipment on credit</w:t>
            </w:r>
          </w:p>
        </w:tc>
        <w:tc>
          <w:tcPr>
            <w:tcW w:w="12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new lease liability and right-of-use</w:t>
            </w:r>
          </w:p>
        </w:tc>
        <w:tc>
          <w:tcPr>
            <w:tcW w:w="12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Termination of lease liability and right-of-use</w:t>
            </w:r>
          </w:p>
        </w:tc>
        <w:tc>
          <w:tcPr>
            <w:tcW w:w="12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 not yet paid</w:t>
            </w:r>
          </w:p>
        </w:tc>
        <w:tc>
          <w:tcPr>
            <w:tcW w:w="12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5380" w:type="dxa"/>
            <w:vAlign w:val="bottom"/>
          </w:tcPr>
          <w:p>
            <w:pPr>
              <w:spacing w:after="0"/>
              <w:rPr>
                <w:sz w:val="24"/>
                <w:szCs w:val="24"/>
                <w:color w:val="auto"/>
              </w:rPr>
            </w:pPr>
          </w:p>
        </w:tc>
        <w:tc>
          <w:tcPr>
            <w:tcW w:w="1280" w:type="dxa"/>
            <w:vAlign w:val="bottom"/>
            <w:gridSpan w:val="2"/>
          </w:tcPr>
          <w:p>
            <w:pPr>
              <w:jc w:val="right"/>
              <w:ind w:right="827"/>
              <w:spacing w:after="0"/>
              <w:rPr>
                <w:sz w:val="20"/>
                <w:szCs w:val="20"/>
                <w:color w:val="auto"/>
              </w:rPr>
            </w:pPr>
            <w:r>
              <w:rPr>
                <w:rFonts w:ascii="Arial" w:cs="Arial" w:eastAsia="Arial" w:hAnsi="Arial"/>
                <w:sz w:val="18"/>
                <w:szCs w:val="18"/>
                <w:color w:val="auto"/>
              </w:rPr>
              <w:t>F-7</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53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4"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general description of the Company and its activity:</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Brainsway Ltd. (“the Company”) incorporated on November 7, 2006, is a commercial stage medical device company focused on the development and sale of non-invasive Deep Transcranial Magnetic Stimulation (“Deep TMS”), technology for the treatment of neurological and addiction disorders. The Deep TMS system (“system”) uses magnetic pulses to stimulate neurons and consequently modulates the physiological activity of the brain.</w:t>
      </w:r>
    </w:p>
    <w:p>
      <w:pPr>
        <w:spacing w:after="0" w:line="186"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In January 2013, the first commercial Deep TMS system received clearance by the United States Food and Drug Administration (“FDA”) for the treatment of major depressive disorder (“MDD”) in adults who failed to achieve satisfactory improvement from anti-depressant medication. In August 2019, the Company received clearance of marketing authorization by the FDA for the adjunct therapy for the treatment of obsessive compulsive disorder (OCD) in adults.</w:t>
      </w:r>
    </w:p>
    <w:p>
      <w:pPr>
        <w:spacing w:after="0" w:line="18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In August 24, 2020, Brainsway Ltd. announced that it has received 510(k) clearance from the U.S. Food and Drug Administration (FDA) for the Company’s deep transcranial magnetic stimulation (“Deep TMS”) system for its use as an aid in short-term smoking cessation in adults.</w:t>
      </w:r>
    </w:p>
    <w:p>
      <w:pPr>
        <w:spacing w:after="0" w:line="14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Brainsway Ltd. (“the Company”) and its wholly owned subsidiaries, Brainsway, Inc. (“Inc”), Moach R&amp;D Services Ltd. (“Moach”), Brainsway USA Inc (“USA Inc”), collectively (the “Group”) derive revenues from the sale and lease of its systems.</w:t>
      </w:r>
    </w:p>
    <w:p>
      <w:pPr>
        <w:spacing w:after="0" w:line="3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 effort to contain and mitigate the spread of COVID-19 global pandemic, many countries around the world, including the U.S. and Israel, have imposed quarantines and restrictions on travel and mass gatherings to slow the spread of the virus and closed non-essential businesses and offices. As many local jurisdictions continue to have such restrictions in place, the Company’s ability to continue to operate its business may also be limited.</w:t>
      </w:r>
    </w:p>
    <w:p>
      <w:pPr>
        <w:spacing w:after="0" w:line="186"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6"/>
          <w:szCs w:val="16"/>
          <w:color w:val="auto"/>
        </w:rPr>
        <w:t>To date, the financial impact on the Company’s business has been moderate, and the Company has put in place a comprehensive alternative commercial strategy to support growth initiatives while adhering to government and health regulatory guidelines. Additionally, to date, there have been no significant disruptions to the supply chain, and the Company currently has sufficient supply of components to assemble the Company’s Deep TMS systems and meet commercial demand. However, the Company has experienced decreased commercial activities which have affected the revenue from leases of the Company’s Deep TMS systems due to slower initiation of certain promotional activities associated with a significant decrease in in-clinic patient visits, tests and treatments and the impact on our sales force’s ability to engage with healthcare providers in an in-person setting, cancellation of events such as industry conferences and limited local and international travel. The ability to successfully commercialize the Deep TMS system for smoking addiction depends on in-clinic patient visits and the availability of diagnostics, both of which has have been negatively affected by the pandemic. In addition, the COVID-19 pandemic has adversely affected and may continue to adversely affect the Company’s clinical and pre-clinical trials, including the ability to initiate and complete clinical and pre-clinical trials within the anticipated timelines, and delays or difficulties in enrolling patients in clinical trials and recruiting clinical site investigators and clinical site staff.</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negative cash flows from operating activities and an operating loss of $ 1.4 million and $ 4.8 million for the year ended December 31, 2020, respectively. The Company’s management and board of directors believe that the Company has the current funding to finance its business activity according to its plans in the foreseeable future. See also Note 22 (c).</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financial statements of the Company as of December 31, 2020 and 2019 and for each of the three years in the period ended December 31, 2020 were authorized for issuance in accordance with a resolution of the board of directors on April 19,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accounting policies have been applied consistently in the financial statements for all periods presented, unless otherwise stated.</w:t>
      </w:r>
    </w:p>
    <w:p>
      <w:pPr>
        <w:spacing w:after="0" w:line="237"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Basis of presentation of the financial statements: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w:t>
      </w:r>
    </w:p>
    <w:p>
      <w:pPr>
        <w:spacing w:after="0" w:line="170"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Company’s financial statements have been prepared on a cost basis, except for certain financial instruments which are presented at fair value through profit or loss.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has elected to present the profit or loss items using the function of expense method.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902"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The consolidated financial statements comprise the financial statements of companies that are controlled by the Company (“subsidiaries”). Control is achieved when the Company has power over the subsidiaries, is exposed or has rights to variable returns from its involvement with the subsidiaries and has the ability to affect those returns through its power over the subsidiaries. In assessing control, the effect of potential voting rights is considered only if they are substantive. The consolidation of the financial statements commences on the date on which control is obtained and ends when such control ceases.</w:t>
      </w:r>
    </w:p>
    <w:p>
      <w:pPr>
        <w:spacing w:after="0" w:line="187"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financial statements of the Company and of the subsidiaries are prepared as of the same dates and periods. The accounting policies in the financial statements of the subsidiaries have been applied consistently and uniformly with those applied in the financial statements of the Company. Significant intragroup balances and transactions and gains or losses resulting from transactions between the Company and the subsidiaries are eliminated in full in the consolidated financial statements.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Functional currency, presentation currency and foreign currency: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Functional currency and presentation currency:</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functional currency is the currency that best reflects the economic environment in which the Company operates and conducts its transactions, is separately determined for each Group entity and is used to measure its financial position and operating results. The Group determines the functional currency of each Group entity. The Company’s functional and presentation currency is the US Dollar for all reported periods.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Transactions, assets and liabilities in foreign currency:</w:t>
      </w:r>
    </w:p>
    <w:p>
      <w:pPr>
        <w:spacing w:after="0" w:line="225" w:lineRule="exact"/>
        <w:rPr>
          <w:rFonts w:ascii="Arial" w:cs="Arial" w:eastAsia="Arial" w:hAnsi="Arial"/>
          <w:sz w:val="18"/>
          <w:szCs w:val="18"/>
          <w:color w:val="auto"/>
        </w:rPr>
      </w:pP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Transactions denominated in foreign currency are recorded upon initial recognition at the exchange rate at the date of the transaction. After initial recognition, monetary assets and liabilities denominated in foreign currency are translated at each reporting date into the functional currency at the exchange rate at that date. Exchange rate differences are recognized in profit or loss. Non-monetary assets and liabilities denominated in foreign currency and measured at cost are translated at the exchange rate at the date of the transaction. Non-monetary assets and liabilities denominated in foreign currency and measured at fair value are translated to the functional currency using the exchange rate prevailing at the date when the fair value was determined.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 and which form part of the Group’s cash management.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Short-term deposits are deposits with an original maturity of more than three months from the date of investment and which do not meet the definition of cash equivalents.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IFRS 15 “Revenue from Contracts with Customers” (“Standard”) introduces a five-step model that applies to revenue earned from contracts with customers. The accounting policy applied by the Company regarding revenue recognition according to IFRS 15 “Revenue from Contracts with Customers” (“Standard”) is as follows:</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generates revenues from the sale and lease of its systems. The Company sells its products mainly to end users and to a lesser extent to third-party distributors outside of the United States and does not provide return rights.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Revenues from sale of systems: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Revenue from sale of systems are recognized at the point in time when control of the system is transferred to the customer, generally upon delivery of the system to the customer.</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 from rendering of services:</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Revenue from rendering of extended warranty services is recognized over time, during the period the customer simultaneously receives and consumes the benefits provided by the Company’s performance. The Company charges its customers based on payment terms agreed upon in specific agreements. When payments are made before or after the service is performed, the Company recognizes the resulting contract asset or liability. Revenue from services were insignificant for all reported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A contract liability, presented as deferred revenues, is the obligation to transfer goods or services to a customer for which the Company has received consideration (or an amount of consideration is due) from the customer. The Company elected to apply the practical expedient in IFRS 15 and does not provide disclosure of the remaining unsatisfied performance obligations with respect to contracts that have a term of up to one year. As of December 31, 2020, the Company has no unsatisfied performance obligation with a contract duration of more than one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Allocating the transaction price:</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contracts that consist of more than one performance obligation at contract inception, the Company allocates the contract transaction price to each performance obligation identified in the contract on a relative stand-alone selling price basis. The stand-alone selling price is the price at which the Company would sell the promised goods or services separately to a customer.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 from lease of systems:</w:t>
      </w:r>
    </w:p>
    <w:p>
      <w:pPr>
        <w:spacing w:after="0" w:line="22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generates revenue from leasing its systems usually for a term of up to four years either for a fixed annual fee, or a variable fee, which is determined based on the higher of: fees per treatment (i.e. usage based fees) or an annual minimum fee as stated in the contract. The classification of a lease as a finance lease or operating lease is determined based on the substance of the lease agreement, and the assessment is made at the inception date of the lease pursuant to the provisions of the Standard. Leases in which substantially all the risks and rewards incidental to ownership of the leased asset are not transferred to the lessee are classified as operating leases. Revenue from operating leases are recognized on a straight-line basis over the lease term. Usage based fees are recognized as revenue when the Company is entitled to receive such revenue.</w:t>
      </w:r>
    </w:p>
    <w:p>
      <w:pPr>
        <w:spacing w:after="0" w:line="164"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Government grants are recognized when there is reasonable assurance that the grants will be received and the Company will comply with all attached conditions.</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Government grants received from the Israel Innovation Authority (“IIA”) and repayable to the IIA through royalty-bearing sales are recognized upon receipt as a liability if future economic benefits are expected to be derived from the research project, resulting in royalty-bearing sales due to the IIA.</w:t>
      </w:r>
    </w:p>
    <w:p>
      <w:pPr>
        <w:spacing w:after="0" w:line="183"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recorded as a reduction of the liability.</w:t>
      </w:r>
    </w:p>
    <w:p>
      <w:pPr>
        <w:spacing w:after="0" w:line="18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If no economic benefits are expected from the research activity, the grant received are recognized as a reduction of the related research and development expenses. In that event, the royalty obligation is treated as a contingent liability in accordance with IAS 37.</w:t>
      </w:r>
    </w:p>
    <w:p>
      <w:pPr>
        <w:spacing w:after="0" w:line="146"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In each reporting date, the Company evaluates whether there is reasonable assurance that the liability recognized, in whole or in part, will not be repaid based on the best estimate of future sales and using the original effective interest method and, if so, the appropriate amount of the liability is derecognized against a corresponding reduction in research and development expenses.</w:t>
      </w:r>
    </w:p>
    <w:p>
      <w:pPr>
        <w:spacing w:after="0" w:line="183"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Grants received from the IIA prior to January 1, 2009, which are recognized as a liability, are accounted for as forgivable loans in accordance with IAS 20, based on the original terms of the loan.</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A forgivable loan from government is treated as government grant when there is reasonable assurance that the grant will be received and that the entity will meet the conditions for forgiveness of the full loan amount. Claims under the government grant relating to eligible expenses are presented as a reduction to the related expense.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On January 1, 2019, the Company first applied IFRS 16, "Leases" ("the Standard"). The Company elected to apply the provisions of the Standard using the modified retrospective method (without restatement of comparative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accounting policy for leases applied effective from January 1, 2019, is as follows:</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accounts for a contract as a lease when the contract terms convey the right to control the use of an identified asset for a period of time in exchange for consideration.</w:t>
      </w:r>
    </w:p>
    <w:p>
      <w:pPr>
        <w:spacing w:after="0" w:line="170" w:lineRule="exact"/>
        <w:rPr>
          <w:rFonts w:ascii="Arial" w:cs="Arial" w:eastAsia="Arial" w:hAnsi="Arial"/>
          <w:sz w:val="18"/>
          <w:szCs w:val="18"/>
          <w:color w:val="auto"/>
        </w:rPr>
      </w:pPr>
    </w:p>
    <w:p>
      <w:pPr>
        <w:jc w:val="both"/>
        <w:ind w:left="660"/>
        <w:spacing w:after="0" w:line="275" w:lineRule="auto"/>
        <w:rPr>
          <w:rFonts w:ascii="Arial" w:cs="Arial" w:eastAsia="Arial" w:hAnsi="Arial"/>
          <w:sz w:val="18"/>
          <w:szCs w:val="18"/>
          <w:color w:val="auto"/>
        </w:rPr>
      </w:pPr>
      <w:r>
        <w:rPr>
          <w:rFonts w:ascii="Arial" w:cs="Arial" w:eastAsia="Arial" w:hAnsi="Arial"/>
          <w:sz w:val="17"/>
          <w:szCs w:val="17"/>
          <w:color w:val="auto"/>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spacing w:after="0" w:line="17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Leases which entitle employees to a company car as part of their employment terms are accounted for as employee benefits in accordance with the provisions of IAS 19 and not as subleases.</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the commencement date, the lease liability includes all unpaid lease payments discounted at the interest rate implicit in the lease, if that rate can be readily determined, or otherwise using the Company’s incremental borrowing rate. After the commencement date, the Company measures the lease liability using the effective interest rate method.</w:t>
      </w:r>
    </w:p>
    <w:p>
      <w:pPr>
        <w:spacing w:after="0" w:line="183"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Following are the amortization periods of the right-of-use assets by class of underlying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580" w:type="dxa"/>
            <w:vAlign w:val="bottom"/>
            <w:tcBorders>
              <w:bottom w:val="single" w:sz="8" w:color="auto"/>
            </w:tcBorders>
          </w:tcPr>
          <w:p>
            <w:pPr>
              <w:spacing w:after="0"/>
              <w:rPr>
                <w:sz w:val="20"/>
                <w:szCs w:val="20"/>
                <w:color w:val="auto"/>
              </w:rPr>
            </w:pPr>
          </w:p>
        </w:tc>
      </w:tr>
      <w:tr>
        <w:trPr>
          <w:trHeight w:val="20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Lease facilities</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Motor vehicles</w:t>
            </w:r>
          </w:p>
        </w:tc>
        <w:tc>
          <w:tcPr>
            <w:tcW w:w="6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58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tests for impairment of the right-of-use asset whenever there are indications of impairment pursuant to the provisions of IAS 36.</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policy for leases applied until December 31, 2018, is as follows: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criteria for classifying leases as finance or operating leases depend on the substance of the agreements and is determined at the inception of the lease in accordance with IAS 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in which substantially all the risks and rewards of ownership of the leased asset are not transferred are classified as operating leases.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payments are recognized as an expense in profit or loss on a straight-line basis over the lease term.</w:t>
      </w:r>
    </w:p>
    <w:p>
      <w:pPr>
        <w:spacing w:after="0" w:line="211"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Taxes on income:</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Current or deferred taxes are recognized in profit or loss, except to the extent that they relate to items which are recognized in other comprehensive income or equity.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Current taxes: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current tax liability is measured using the tax rates and tax laws that have been enacted or substantively enacted at the reporting date, as well as adjustments required in connection with the tax liability in respect of previous years.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Deferred taxes are computed in respect of temporary differences between the carrying amounts in the financial statements and the amounts attributed for tax purposes.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Deferred taxes are measured at the tax rate that is expected to apply when the asset is realized or the liability is settled, based on tax laws that have been enacted or substantively enacted by the reporting date.</w:t>
      </w:r>
    </w:p>
    <w:p>
      <w:pPr>
        <w:spacing w:after="0" w:line="170"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Deferred tax assets are reviewed at each reporting date and reduced to the extent that it is not probable that they will be utilized. Temporary differences that can be deducted for which deferred tax assets had not been recognized are reviewed at each reporting date and a respective deferred tax asset is recognized to the extent that utilization is probable.</w:t>
      </w:r>
    </w:p>
    <w:p>
      <w:pPr>
        <w:spacing w:after="0" w:line="183"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Taxes that would apply in the event of the disposal of investments in subsidiaries have not been taken into account in computing deferred taxes, as long as the disposal of the investments in subsidiaries is not probable in the foreseeable future. Also, deferred taxes that would apply in the event of distribution of earnings by subsidiaries as dividends have not been taken into account in computing deferred taxes, since the distribution of dividends does not involve an additional tax liability or since it is the Company’s policy not to initiate distribution of dividends from a subsidiary that would trigger an additional tax liability.</w:t>
      </w:r>
    </w:p>
    <w:p>
      <w:pPr>
        <w:spacing w:after="0" w:line="17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Deferred taxes are offset if there is a legally enforceable right to offset a current tax asset against a current tax liability and the deferred taxes relate to the same taxpayer and the same taxation authority.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Leased systems, system components and other property and equipment, net:</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cost of self-constructed systems (leased systems) includes the cost of materials, direct labor and share-based payment, as well as any costs directly attributable to bringing the asset to the location and condition necessary for it to be capable of operating in the manner intended by management.</w:t>
      </w:r>
    </w:p>
    <w:p>
      <w:pPr>
        <w:spacing w:after="0" w:line="183" w:lineRule="exact"/>
        <w:rPr>
          <w:rFonts w:ascii="Arial" w:cs="Arial" w:eastAsia="Arial" w:hAnsi="Arial"/>
          <w:sz w:val="18"/>
          <w:szCs w:val="18"/>
          <w:color w:val="auto"/>
        </w:rPr>
      </w:pPr>
    </w:p>
    <w:p>
      <w:pPr>
        <w:jc w:val="both"/>
        <w:ind w:left="660"/>
        <w:spacing w:after="0" w:line="311" w:lineRule="auto"/>
        <w:rPr>
          <w:rFonts w:ascii="Arial" w:cs="Arial" w:eastAsia="Arial" w:hAnsi="Arial"/>
          <w:sz w:val="18"/>
          <w:szCs w:val="18"/>
          <w:color w:val="auto"/>
        </w:rPr>
      </w:pPr>
      <w:r>
        <w:rPr>
          <w:rFonts w:ascii="Arial" w:cs="Arial" w:eastAsia="Arial" w:hAnsi="Arial"/>
          <w:sz w:val="16"/>
          <w:szCs w:val="16"/>
          <w:color w:val="auto"/>
        </w:rPr>
        <w:t>System components are stated at the lower of cost and net realizable value. Cost is determined on a weighted average basis. Net realizable value is based on estimated selling prices less estimated costs to be incurred to completion and disposal. The impairment of leased systems and system components recognized in cost of revenues was $1,061, $1,191 and $340 for the years ended December 31, 2020, 2019 and 2018, respectively.</w:t>
      </w:r>
    </w:p>
    <w:p>
      <w:pPr>
        <w:spacing w:after="0" w:line="14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Depreciation is calculated on a straight-line basis over the useful life of the assets at annual rates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spacing w:after="0"/>
              <w:rPr>
                <w:sz w:val="20"/>
                <w:szCs w:val="20"/>
                <w:color w:val="auto"/>
              </w:rPr>
            </w:pPr>
          </w:p>
        </w:tc>
      </w:tr>
      <w:tr>
        <w:trPr>
          <w:trHeight w:val="20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Leased systems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66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Laboratory equipment</w:t>
            </w:r>
          </w:p>
        </w:tc>
        <w:tc>
          <w:tcPr>
            <w:tcW w:w="6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6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66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8"/>
        <w:spacing w:after="0" w:line="277" w:lineRule="auto"/>
        <w:tabs>
          <w:tab w:leader="none" w:pos="2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Leasehold improvements are depreciated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useful life and depreciation method of an asset are reviewed at least each year-end and any changes are accounted for prospectively as a change in accounting estimate.</w:t>
      </w:r>
    </w:p>
    <w:p>
      <w:pPr>
        <w:spacing w:after="0" w:line="170"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Impairment of non-financial assets:</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evaluates the need to record an impairment of non-financial assets whenever events or changes in circumstances indicate that the carrying amount is not recoverable.</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If the carrying amount of non-financial assets exceeds their recoverable amount, the assets are reduced to their recoverable amount. The recoverable amount is the higher of fair value less costs of sale and value in use. In measuring value in use, the expected cash flows are discounted using a pre-tax discount rate that reflects the risks specific to the asset.</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recoverable amount of an asset that does not generate independent cash flows is determined for the cash-generating unit to which the asset belongs. Impairment losses are recognized in profit or loss.</w:t>
      </w:r>
    </w:p>
    <w:p>
      <w:pPr>
        <w:spacing w:after="0" w:line="170"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An impairment loss of an asset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Impairment of financial assets: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Company evaluates at the end of each reporting period the loss allowance for financial debt instruments which are not measured at fair value through profit or loss. The Company distinguishes between two types of loss allowances:</w:t>
      </w:r>
    </w:p>
    <w:p>
      <w:pPr>
        <w:spacing w:after="0" w:line="170" w:lineRule="exact"/>
        <w:rPr>
          <w:rFonts w:ascii="Arial" w:cs="Arial" w:eastAsia="Arial" w:hAnsi="Arial"/>
          <w:sz w:val="18"/>
          <w:szCs w:val="18"/>
          <w:color w:val="auto"/>
        </w:rPr>
      </w:pPr>
    </w:p>
    <w:p>
      <w:pPr>
        <w:jc w:val="both"/>
        <w:ind w:left="1960" w:right="20" w:hanging="656"/>
        <w:spacing w:after="0" w:line="263" w:lineRule="auto"/>
        <w:tabs>
          <w:tab w:leader="none" w:pos="19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Debt instruments whose credit risk has not increased significantly since initial recognition, or whose credit risk is low - the loss allowance recognized in respect of this debt instrument is measured at an amount equal to the expected credit losses within 12 months from the reporting date; or</w:t>
      </w:r>
    </w:p>
    <w:p>
      <w:pPr>
        <w:spacing w:after="0" w:line="183" w:lineRule="exact"/>
        <w:rPr>
          <w:rFonts w:ascii="Arial" w:cs="Arial" w:eastAsia="Arial" w:hAnsi="Arial"/>
          <w:sz w:val="18"/>
          <w:szCs w:val="18"/>
          <w:color w:val="auto"/>
        </w:rPr>
      </w:pPr>
    </w:p>
    <w:p>
      <w:pPr>
        <w:jc w:val="both"/>
        <w:ind w:left="1960" w:right="20" w:hanging="656"/>
        <w:spacing w:after="0" w:line="263" w:lineRule="auto"/>
        <w:tabs>
          <w:tab w:leader="none" w:pos="19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Debt instruments whose credit risk has not increased significantly since initial recognition, or whose credit risk is low - the loss allowance recognized in respect of this debt instrument is measured at an amount equal to the expected credit losses within 12 months from the reporting date.</w:t>
      </w:r>
    </w:p>
    <w:p>
      <w:pPr>
        <w:spacing w:after="0" w:line="184"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An impairment loss on debt instruments measured at amortized cost is recognized in profit or loss with a corresponding loss allowance that is offset from the carrying amount of the financial asset, whereas the impairment loss on debt instruments measured at fair value through other comprehensive income is recognized in profit or loss with a corresponding loss allowance that is recorded in other comprehensive income and not as a reduction of the carrying amount of the financial asset in the statement of financial position.</w:t>
      </w:r>
    </w:p>
    <w:p>
      <w:pPr>
        <w:spacing w:after="0" w:line="15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has short-term financial assets such as trade receivables in respect of which the Company applies a simplified approach and measures the loss allowance in an amount equal to the lifetime expected credit losses.</w:t>
      </w:r>
    </w:p>
    <w:p>
      <w:pPr>
        <w:spacing w:after="0" w:line="170"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Derecognition of financial assets: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financial asset is derecognized only when the following criteria are met: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contractual rights to the cash flows from the financial asset expire; or</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has transferred substantially all the risks and rewards deriving from the contractual rights to receive cash flows from the financial asset or has neither transferred nor retained substantially all the risks and rewards of the asset, but has transferred control of the asset; or</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has retained its contractual rights to receive cash flows from the financial asset but has assumed a contractual obligation to pay the cash flows in full without material delay to a third party.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1300" w:hanging="644"/>
        <w:spacing w:after="0"/>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Financial liabilities: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Financial liabilities within the scope of the standard are initially recognized at fair value less transaction costs that are directly attributable to the issue of the financial liability, excluding financial liabilities measured at fair value through profit or loss whose transaction costs are carried to profit or loss.</w:t>
      </w:r>
    </w:p>
    <w:p>
      <w:pPr>
        <w:spacing w:after="0" w:line="183"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On the date of initial recognition, the Company classified financial liabilities measured at fair value through profit or loss. Changes in their fair value which can be attributed to changes in the Company’s credit risk profile are carried to other comprehensive income.</w:t>
      </w:r>
    </w:p>
    <w:p>
      <w:pPr>
        <w:spacing w:after="0" w:line="14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After initial recognition, the Company measures all financial liabilities at amortized cost, except for financial liabilities at fair value through profit or loss such as derivatives.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Derecognition of financial liabilities: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A financial liability is derecognized only when it is extinguished, that is when the obligation is discharged, cancelled or expires. A financial liability is extinguished when the debtor discharges the liability by paying in cash, other financial assets, goods or services; or is legally released from the liability.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Issue of a unit of securities:</w:t>
      </w:r>
    </w:p>
    <w:p>
      <w:pPr>
        <w:spacing w:after="0" w:line="225" w:lineRule="exact"/>
        <w:rPr>
          <w:rFonts w:ascii="Arial" w:cs="Arial" w:eastAsia="Arial" w:hAnsi="Arial"/>
          <w:sz w:val="18"/>
          <w:szCs w:val="18"/>
          <w:color w:val="auto"/>
        </w:rPr>
      </w:pPr>
    </w:p>
    <w:p>
      <w:pPr>
        <w:jc w:val="both"/>
        <w:ind w:left="1300"/>
        <w:spacing w:after="0" w:line="301" w:lineRule="auto"/>
        <w:rPr>
          <w:rFonts w:ascii="Arial" w:cs="Arial" w:eastAsia="Arial" w:hAnsi="Arial"/>
          <w:sz w:val="18"/>
          <w:szCs w:val="18"/>
          <w:color w:val="auto"/>
        </w:rPr>
      </w:pPr>
      <w:r>
        <w:rPr>
          <w:rFonts w:ascii="Arial" w:cs="Arial" w:eastAsia="Arial" w:hAnsi="Arial"/>
          <w:sz w:val="16"/>
          <w:szCs w:val="16"/>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Then fair value is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157" w:lineRule="exact"/>
        <w:rPr>
          <w:rFonts w:ascii="Arial" w:cs="Arial" w:eastAsia="Arial" w:hAnsi="Arial"/>
          <w:sz w:val="18"/>
          <w:szCs w:val="18"/>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 is based on the assumption that the transaction will take place in the asset’s or the liability’s principal market, or in the absence of a principal market, in the most advantageous market.</w:t>
      </w:r>
    </w:p>
    <w:p>
      <w:pPr>
        <w:spacing w:after="0" w:line="183"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4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assets and liabilities measured at fair value or for which fair value is disclosed are categorized into levels within the fair value hierarchy based on the lowest level input that is significant to the entire fair value measurement:</w:t>
      </w:r>
    </w:p>
    <w:p>
      <w:pPr>
        <w:spacing w:after="0" w:line="170" w:lineRule="exact"/>
        <w:rPr>
          <w:sz w:val="20"/>
          <w:szCs w:val="20"/>
          <w:color w:val="auto"/>
        </w:rPr>
      </w:pPr>
    </w:p>
    <w:p>
      <w:pPr>
        <w:ind w:left="1040"/>
        <w:spacing w:after="0"/>
        <w:tabs>
          <w:tab w:leader="none" w:pos="1820" w:val="left"/>
          <w:tab w:leader="none" w:pos="2240" w:val="left"/>
        </w:tabs>
        <w:rPr>
          <w:sz w:val="20"/>
          <w:szCs w:val="20"/>
          <w:color w:val="auto"/>
        </w:rPr>
      </w:pPr>
      <w:r>
        <w:rPr>
          <w:rFonts w:ascii="Arial" w:cs="Arial" w:eastAsia="Arial" w:hAnsi="Arial"/>
          <w:sz w:val="18"/>
          <w:szCs w:val="18"/>
          <w:color w:val="auto"/>
        </w:rPr>
        <w:t>Level 1</w:t>
        <w:tab/>
        <w:t>—</w:t>
      </w:r>
      <w:r>
        <w:rPr>
          <w:sz w:val="20"/>
          <w:szCs w:val="20"/>
          <w:color w:val="auto"/>
        </w:rPr>
        <w:tab/>
      </w:r>
      <w:r>
        <w:rPr>
          <w:rFonts w:ascii="Arial" w:cs="Arial" w:eastAsia="Arial" w:hAnsi="Arial"/>
          <w:sz w:val="16"/>
          <w:szCs w:val="16"/>
          <w:color w:val="auto"/>
        </w:rPr>
        <w:t>quoted prices (unadjusted) in active markets for identical assets or liabilities.</w:t>
      </w:r>
    </w:p>
    <w:p>
      <w:pPr>
        <w:spacing w:after="0" w:line="225" w:lineRule="exact"/>
        <w:rPr>
          <w:sz w:val="20"/>
          <w:szCs w:val="20"/>
          <w:color w:val="auto"/>
        </w:rPr>
      </w:pPr>
    </w:p>
    <w:p>
      <w:pPr>
        <w:ind w:left="1040"/>
        <w:spacing w:after="0"/>
        <w:tabs>
          <w:tab w:leader="none" w:pos="1820" w:val="left"/>
          <w:tab w:leader="none" w:pos="2240" w:val="left"/>
        </w:tabs>
        <w:rPr>
          <w:sz w:val="20"/>
          <w:szCs w:val="20"/>
          <w:color w:val="auto"/>
        </w:rPr>
      </w:pPr>
      <w:r>
        <w:rPr>
          <w:rFonts w:ascii="Arial" w:cs="Arial" w:eastAsia="Arial" w:hAnsi="Arial"/>
          <w:sz w:val="18"/>
          <w:szCs w:val="18"/>
          <w:color w:val="auto"/>
        </w:rPr>
        <w:t>Level 2</w:t>
        <w:tab/>
        <w:t>—</w:t>
      </w:r>
      <w:r>
        <w:rPr>
          <w:sz w:val="20"/>
          <w:szCs w:val="20"/>
          <w:color w:val="auto"/>
        </w:rPr>
        <w:tab/>
      </w:r>
      <w:r>
        <w:rPr>
          <w:rFonts w:ascii="Arial" w:cs="Arial" w:eastAsia="Arial" w:hAnsi="Arial"/>
          <w:sz w:val="16"/>
          <w:szCs w:val="16"/>
          <w:color w:val="auto"/>
        </w:rPr>
        <w:t>inputs other than quoted prices included within Level 1 that are observable either directly or indirectly.</w:t>
      </w:r>
    </w:p>
    <w:p>
      <w:pPr>
        <w:spacing w:after="0" w:line="225" w:lineRule="exact"/>
        <w:rPr>
          <w:sz w:val="20"/>
          <w:szCs w:val="20"/>
          <w:color w:val="auto"/>
        </w:rPr>
      </w:pPr>
    </w:p>
    <w:p>
      <w:pPr>
        <w:ind w:left="1840" w:hanging="1214"/>
        <w:spacing w:after="0" w:line="277" w:lineRule="auto"/>
        <w:tabs>
          <w:tab w:leader="none" w:pos="1820" w:val="left"/>
        </w:tabs>
        <w:rPr>
          <w:sz w:val="20"/>
          <w:szCs w:val="20"/>
          <w:color w:val="auto"/>
        </w:rPr>
      </w:pPr>
      <w:r>
        <w:rPr>
          <w:rFonts w:ascii="Arial" w:cs="Arial" w:eastAsia="Arial" w:hAnsi="Arial"/>
          <w:sz w:val="18"/>
          <w:szCs w:val="18"/>
          <w:color w:val="auto"/>
        </w:rPr>
        <w:t>Level 3</w:t>
        <w:tab/>
        <w:t>— inputs that are not based on observable market data (valuation techniques which use inputs that are not based on observable market data).</w:t>
      </w:r>
    </w:p>
    <w:p>
      <w:pPr>
        <w:spacing w:after="0" w:line="170"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Provisions: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A provision in accordance with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Employee benefit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Short-term employee benefits:</w:t>
      </w:r>
    </w:p>
    <w:p>
      <w:pPr>
        <w:spacing w:after="0" w:line="225" w:lineRule="exact"/>
        <w:rPr>
          <w:rFonts w:ascii="Arial" w:cs="Arial" w:eastAsia="Arial" w:hAnsi="Arial"/>
          <w:sz w:val="18"/>
          <w:szCs w:val="18"/>
          <w:color w:val="auto"/>
        </w:rPr>
      </w:pPr>
    </w:p>
    <w:p>
      <w:pPr>
        <w:jc w:val="both"/>
        <w:ind w:left="1300"/>
        <w:spacing w:after="0" w:line="275" w:lineRule="auto"/>
        <w:rPr>
          <w:rFonts w:ascii="Arial" w:cs="Arial" w:eastAsia="Arial" w:hAnsi="Arial"/>
          <w:sz w:val="18"/>
          <w:szCs w:val="18"/>
          <w:color w:val="auto"/>
        </w:rPr>
      </w:pPr>
      <w:r>
        <w:rPr>
          <w:rFonts w:ascii="Arial" w:cs="Arial" w:eastAsia="Arial" w:hAnsi="Arial"/>
          <w:sz w:val="17"/>
          <w:szCs w:val="17"/>
          <w:color w:val="auto"/>
        </w:rPr>
        <w:t>Short-term employee benefits are benefits that are expected to be settled wholly before twelve months after the end of the annual reporting period in which the employees render the related services. These benefits include salaries, paid annual and sick leave, recreation and social security contributions and are recognized as expenses as the services are rendered. A liability in respect of a cash bonus or a profit-sharing plan is recognized when the Company has a legal or constructive obligation to make such payment as a result of past service rendered by an employee and a reliable estimate of the amount can be made.</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Post-employment benefits: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Group has defined contribution plans pursuant to Section 14 of the Severance Pay Law (“Section 14”) under which the Group pays fixed contributions and has no legal or constructive obligation to pay further contributions if the fund does not hold sufficient amounts to pay all employee benefits relating to employee service in the current and prior periods.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The Israeli Severance Pay Law, 1963 (“Severance Pay Law”), specifies that employees are entitled to severance payment following the termination of their employment. Under the Severance Pay Law, the severance payment is calculated as one month salary for each year of employment, or a portion thereof. The majority of the Company’s liability for severance pay is covered by the provisions of. Under Section 14, employees are entitled to monthly deposits, at a rate of 8.33% of their monthly salary, made on behalf of the employee with insurance companies.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balance sheet.</w:t>
      </w:r>
    </w:p>
    <w:p>
      <w:pPr>
        <w:spacing w:after="0" w:line="177"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Contributions to the defined contribution plan in respect of severance or retirement pay are recognized as an expense when contributed concurrently with performance of the employee’s services and no additional provision is required in the financial statements. See also Note 14.</w:t>
      </w:r>
    </w:p>
    <w:p>
      <w:pPr>
        <w:spacing w:after="0" w:line="184"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Share-based payment transactions: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Company’s employees and other service providers are entitled to remuneration in the form of equity-settled share-based payment.</w:t>
      </w:r>
    </w:p>
    <w:p>
      <w:pPr>
        <w:spacing w:after="0" w:line="236"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cost of equity-settled transactions is recognized in profit or loss together with a corresponding increase in equity during the period which the performance and/or service conditions are to be satisfied ending on the date on which the relevant employees become entitled to the award (“the vesting period”). The cumulative expense recognized for equity-settled transactions at the end of each reporting date includes the Group’s best estimate of the number of equity instruments that will ultimately vest.</w:t>
      </w:r>
    </w:p>
    <w:p>
      <w:pPr>
        <w:spacing w:after="0" w:line="186"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The cost of equity-settled transactions with employees is measured at the fair value of the equity instruments granted at grant date. The fair value of option granted is determined using the Binomial Lattice option-pricing model (“Binomial model”). The Binomial model takes into account variables such as volatility, dividend yield rate, and risk-free interest rate and also allows for the use of dynamic assumptions and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1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 expense is recognized for awards that do not ultimately vest.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Research expenses are recognized in profit or loss when incurred. An intangible asset arising from a development project or from the development phase of an internal project is recognized if the Company can demonstrate all of the following: the technical feasibility of completing the intangible asset so that it will be available for use or sale; the Company’s intention to complete the intangible asset and use or sell it; the Company’s ability to use or sell the intangible asset; how the intangible asset will generate future economic benefits; the availability of adequate technical, financial and other resources to complete the intangible asset; and the Company’s ability to measure reliably the expenditure attributable to the intangible asset during its development. Through December 31, 2020, the Company has not met all the aforementioned criteria and therefore all development costs have been recognized in profit or loss.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Net loss per share:</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Net loss per share is calculated by dividing the net loss attributable to equity holders of the Company by the weighted number of Ordinary shares outstanding during the period.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Basic net loss per share includes only shares that are outstanding during the period.</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Potential Ordinary shares are included in the computation of diluted net loss per share when such shares are dilutive. Potential Ordinary shares that are converted during the period are included in diluted net loss per share only until the conversion date and from that date in basic net loss per share.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right="20" w:hanging="652"/>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Changes in accounting policies – initial adoption of new financial reporting and accounting standards and amendments to existing financial reporting and accounting standards: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Amendments to IFRS 10 and IAS 28 regarding sale or transfer of assets between an investor and its associate or joint venture:</w:t>
      </w:r>
    </w:p>
    <w:p>
      <w:pPr>
        <w:spacing w:after="0" w:line="236" w:lineRule="exact"/>
        <w:rPr>
          <w:rFonts w:ascii="Arial" w:cs="Arial" w:eastAsia="Arial" w:hAnsi="Arial"/>
          <w:sz w:val="17"/>
          <w:szCs w:val="17"/>
          <w:color w:val="auto"/>
        </w:rPr>
      </w:pPr>
    </w:p>
    <w:p>
      <w:pPr>
        <w:ind w:left="1300"/>
        <w:spacing w:after="0" w:line="308" w:lineRule="auto"/>
        <w:rPr>
          <w:rFonts w:ascii="Arial" w:cs="Arial" w:eastAsia="Arial" w:hAnsi="Arial"/>
          <w:sz w:val="17"/>
          <w:szCs w:val="17"/>
          <w:color w:val="auto"/>
        </w:rPr>
      </w:pPr>
      <w:r>
        <w:rPr>
          <w:rFonts w:ascii="Arial" w:cs="Arial" w:eastAsia="Arial" w:hAnsi="Arial"/>
          <w:sz w:val="17"/>
          <w:szCs w:val="17"/>
          <w:color w:val="auto"/>
        </w:rPr>
        <w:t>In September 2014, the IASB issued amendments to IFRS 10 and IAS 28 ("the Amendments") regarding the accounting treatment of the sale or transfer of assets (an asset, a group of assets or a subsidiary) between an investor and its associate or joint venture.</w:t>
      </w:r>
    </w:p>
    <w:p>
      <w:pPr>
        <w:spacing w:after="0" w:line="146" w:lineRule="exact"/>
        <w:rPr>
          <w:rFonts w:ascii="Arial" w:cs="Arial" w:eastAsia="Arial" w:hAnsi="Arial"/>
          <w:sz w:val="17"/>
          <w:szCs w:val="17"/>
          <w:color w:val="auto"/>
        </w:rPr>
      </w:pPr>
    </w:p>
    <w:p>
      <w:pPr>
        <w:jc w:val="both"/>
        <w:ind w:left="1300"/>
        <w:spacing w:after="0" w:line="259" w:lineRule="auto"/>
        <w:rPr>
          <w:rFonts w:ascii="Arial" w:cs="Arial" w:eastAsia="Arial" w:hAnsi="Arial"/>
          <w:sz w:val="17"/>
          <w:szCs w:val="17"/>
          <w:color w:val="auto"/>
        </w:rPr>
      </w:pPr>
      <w:r>
        <w:rPr>
          <w:rFonts w:ascii="Arial" w:cs="Arial" w:eastAsia="Arial" w:hAnsi="Arial"/>
          <w:sz w:val="18"/>
          <w:szCs w:val="18"/>
          <w:color w:val="auto"/>
        </w:rPr>
        <w:t>According to the Amendments, when the investor loses control of a subsidiary or a group of assets that are not a business in a transaction with its associate or joint venture, the gain will be partially eliminated such that the gain to be recognized is the gain from the sale to the other investors in the associate or joint venture. According to the Amendments, if the remaining rights held by the investor represent a financial asset as defined in IFRS 9, the gain will be recognized in full.</w:t>
      </w:r>
    </w:p>
    <w:p>
      <w:pPr>
        <w:spacing w:after="0" w:line="186" w:lineRule="exact"/>
        <w:rPr>
          <w:rFonts w:ascii="Arial" w:cs="Arial" w:eastAsia="Arial" w:hAnsi="Arial"/>
          <w:sz w:val="17"/>
          <w:szCs w:val="17"/>
          <w:color w:val="auto"/>
        </w:rPr>
      </w:pPr>
    </w:p>
    <w:p>
      <w:pPr>
        <w:ind w:left="1300"/>
        <w:spacing w:after="0" w:line="277" w:lineRule="auto"/>
        <w:rPr>
          <w:rFonts w:ascii="Arial" w:cs="Arial" w:eastAsia="Arial" w:hAnsi="Arial"/>
          <w:sz w:val="17"/>
          <w:szCs w:val="17"/>
          <w:color w:val="auto"/>
        </w:rPr>
      </w:pPr>
      <w:r>
        <w:rPr>
          <w:rFonts w:ascii="Arial" w:cs="Arial" w:eastAsia="Arial" w:hAnsi="Arial"/>
          <w:sz w:val="18"/>
          <w:szCs w:val="18"/>
          <w:color w:val="auto"/>
        </w:rPr>
        <w:t>If the transaction with an associate or joint venture involves loss of control of a subsidiary or a group of assets that are a business, the gain will be recognized in full.</w:t>
      </w:r>
    </w:p>
    <w:p>
      <w:pPr>
        <w:spacing w:after="0" w:line="170" w:lineRule="exact"/>
        <w:rPr>
          <w:rFonts w:ascii="Arial" w:cs="Arial" w:eastAsia="Arial" w:hAnsi="Arial"/>
          <w:sz w:val="17"/>
          <w:szCs w:val="17"/>
          <w:color w:val="auto"/>
        </w:rPr>
      </w:pPr>
    </w:p>
    <w:p>
      <w:pPr>
        <w:ind w:left="1300" w:right="20"/>
        <w:spacing w:after="0" w:line="277" w:lineRule="auto"/>
        <w:rPr>
          <w:rFonts w:ascii="Arial" w:cs="Arial" w:eastAsia="Arial" w:hAnsi="Arial"/>
          <w:sz w:val="17"/>
          <w:szCs w:val="17"/>
          <w:color w:val="auto"/>
        </w:rPr>
      </w:pPr>
      <w:r>
        <w:rPr>
          <w:rFonts w:ascii="Arial" w:cs="Arial" w:eastAsia="Arial" w:hAnsi="Arial"/>
          <w:sz w:val="18"/>
          <w:szCs w:val="18"/>
          <w:color w:val="auto"/>
        </w:rPr>
        <w:t>The Amendments are to be applied prospectively. A mandatory effective date has not yet been determined by the IASB but early adoption is permitted.</w:t>
      </w:r>
    </w:p>
    <w:p>
      <w:pPr>
        <w:spacing w:after="0" w:line="170" w:lineRule="exact"/>
        <w:rPr>
          <w:rFonts w:ascii="Arial" w:cs="Arial" w:eastAsia="Arial" w:hAnsi="Arial"/>
          <w:sz w:val="17"/>
          <w:szCs w:val="17"/>
          <w:color w:val="auto"/>
        </w:rPr>
      </w:pPr>
    </w:p>
    <w:p>
      <w:pPr>
        <w:ind w:left="1300" w:hanging="644"/>
        <w:spacing w:after="0"/>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Amendment to IAS 16, "Property, Plant and Equipment":</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In May 2020, the IASB issued an amendment to IAS 16, "Property, Plant and Equipment" ("the Amendment"). The Amendment prohibits a company from deducting from the cost of property, plant and equipment ("PP&amp;E") consideration received from the sales of items produced while the company is preparing the asset for its intended use. Instead, the company should recognize such consideration and related costs in profit or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right="20" w:hanging="652"/>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Changes in accounting policies – initial adoption of new financial reporting and accounting standards and amendments to existing financial reporting and accounting standards: (continued)</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Amendment is effective for annual reporting periods beginning on or after January 1, 2022, with earlier application permitted. The Amendment is to be applied retrospectively, but only to items of PP&amp;E made available for use on or after the beginning of the earliest period presented in the financial statements in which the company first applies the Amendment. The company should recognize the cumulative effect of initially applying the Amendment as an adjustment to the opening balance of retained earnings at the beginning of the earliest period presented.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estimates that the application of the Amendment is not expected to have a material impact on the financial statements.</w:t>
      </w:r>
    </w:p>
    <w:p>
      <w:pPr>
        <w:spacing w:after="0" w:line="248"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Amendment to IAS 37, "Provisions, Contingent Liabilities and Contingent Assets":</w:t>
      </w:r>
    </w:p>
    <w:p>
      <w:pPr>
        <w:spacing w:after="0" w:line="225"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In May 2020, the IASB issued an amendment to IAS 37, regarding which costs a company should include when assessing whether a contract is onerous ("the Amendment"). According to the Amendment, costs of fulfilling a contract include both the incremental costs (for example, raw materials and direct labor) and an allocation of other costs that relate directly to fulfilling a contract (for example, depreciation of an item of property, plant and equipment used in fulfilling the contract).</w:t>
      </w:r>
    </w:p>
    <w:p>
      <w:pPr>
        <w:spacing w:after="0" w:line="186"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Amendment is effective for annual periods beginning on or after January 1, 2022 and applies to contracts for which all obligations in respect thereof have not yet been fulfilled as of January 1, 2022. Early application is permitted.</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The Company estimates that the application of the Amendment is not expected to have a material impact on the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ind w:left="660" w:right="20" w:hanging="652"/>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accounting policies – initial adoption of new financial reporting and accounting standards and amendments to existing financial reporting and accounting standards: (continued)</w:t>
      </w:r>
    </w:p>
    <w:p>
      <w:pPr>
        <w:spacing w:after="0" w:line="197"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Amendments to IFRS 9, IFRS 7, IFRS 16, IFRS 4 and IAS 39 regarding the IBOR reform: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2019, the IASB published amendments to IFRS 9, "Financial Instruments", IFRS 7, "Financial Instruments: Disclosures" and IAS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39," Financial Instruments: Recognition and Measurement" (collectively - "the Amendment").</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Amendment permits certain temporary reliefs for entities applying hedge accounting for IBOR-based instruments which are affected by the uncertainty involving the expected interest rate benchmark reform. This reform has caused uncertainty relating to the timing and amounts of future cash flows from both hedging instruments and hedged items.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is applicable for annual periods beginning on January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adoption of the Amendment did not have an effect on the Company's financial statements as of January 1, 2020.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NOTE 3: SIGNIFICANT ACCOUNTING JUDGMENTS, ESTIMATES AND ASSUMPTIONS USED IN THE PREPARATION OF THE FINANCIAL STATEMENTS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process of applying the significant accounting policies in the financial statements, the Group has made the following judgments, estimates and assumptions, which have the most significant effect on the amounts recognized in the financial statements:</w:t>
      </w:r>
    </w:p>
    <w:p>
      <w:pPr>
        <w:spacing w:after="0" w:line="170" w:lineRule="exact"/>
        <w:rPr>
          <w:sz w:val="20"/>
          <w:szCs w:val="20"/>
          <w:color w:val="auto"/>
        </w:rPr>
      </w:pPr>
    </w:p>
    <w:p>
      <w:pPr>
        <w:ind w:left="660" w:right="8880" w:hanging="652"/>
        <w:spacing w:after="0" w:line="563"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Judgments: Classification of leases:</w:t>
      </w: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Evaluation of whether to classify a lease as a finance lease or an operating lease in accordance with the criteria stipulated in IFRS 16 requires significant judgment.</w:t>
      </w:r>
    </w:p>
    <w:p>
      <w:pPr>
        <w:spacing w:after="0" w:line="170" w:lineRule="exact"/>
        <w:rPr>
          <w:rFonts w:ascii="Arial" w:cs="Arial" w:eastAsia="Arial" w:hAnsi="Arial"/>
          <w:sz w:val="16"/>
          <w:szCs w:val="16"/>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Estimates and assumptions: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preparation of the financial statements requires management to make estimates and assumptions that have an effect on the application of the accounting policies and on the reported amounts of assets, liabilities, revenues and expenses. Changes in accounting estimates are reported in the period of the change in estimate.</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key assumptions made in the financial statements concerning uncertainties at the reporting date and the critical estimates computed by the Group that may result in a material adjustment to the carrying amounts of assets and liabilities within the next financial year are discussed below.</w:t>
      </w:r>
    </w:p>
    <w:p>
      <w:pPr>
        <w:spacing w:after="0" w:line="124" w:lineRule="exact"/>
        <w:rPr>
          <w:sz w:val="20"/>
          <w:szCs w:val="20"/>
          <w:color w:val="auto"/>
        </w:rPr>
      </w:pPr>
    </w:p>
    <w:p>
      <w:pPr>
        <w:ind w:left="1620" w:hanging="316"/>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Grants from the IIA:</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Government grants received from the IIA are recognized as a liability if future economic benefits are expected from the research and development activity that will result in royalty-bearing sales. There is uncertainty regarding the estimated future cash flows and discount rate used to measure the amount of the liability.</w:t>
      </w:r>
    </w:p>
    <w:p>
      <w:pPr>
        <w:spacing w:after="0" w:line="184" w:lineRule="exact"/>
        <w:rPr>
          <w:sz w:val="20"/>
          <w:szCs w:val="20"/>
          <w:color w:val="auto"/>
        </w:rPr>
      </w:pPr>
    </w:p>
    <w:p>
      <w:pPr>
        <w:ind w:left="1620" w:hanging="316"/>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Provision for allowance for doubtful accounts on trade receivables:</w:t>
      </w:r>
    </w:p>
    <w:p>
      <w:pPr>
        <w:spacing w:after="0" w:line="225"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The Group uses a provision matrix to calculate the allowance for doubtful accounts based on expected credit losses (ECL’s) for trade receivables. The provision rates are based on days past due for its various customers. The provision matrix is initially based on the Group’s historical observed default rates as well as forward-looking information. At each reporting date, the historical observed default rates are updated and changes in the forward-looking estimates are analyzed. The amount of ECLs is sensitive to changes in circumstances and forecast economic conditions. The Group’s historical credit loss experience and forecast of economic conditions may also not be representative of customers’ actual default in the future. The information about the ECLs on the Group’s trade receivables is disclosed in Note 6.</w:t>
      </w:r>
    </w:p>
    <w:p>
      <w:pPr>
        <w:spacing w:after="0" w:line="195" w:lineRule="exact"/>
        <w:rPr>
          <w:sz w:val="20"/>
          <w:szCs w:val="20"/>
          <w:color w:val="auto"/>
        </w:rPr>
      </w:pPr>
    </w:p>
    <w:p>
      <w:pPr>
        <w:ind w:left="1620" w:hanging="316"/>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Determining the fair value of share-based payment transactions:</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fair value of share-based payment transactions is determined upon initial recognition by the Binomial model. The Binomial model is based on share price and exercise price and assumptions regarding expected volatility, term of share option, dividend yield and risk-free interest rate.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spacing w:after="0" w:line="209" w:lineRule="auto"/>
        <w:framePr w:w="1360" w:h="160" w:wrap="auto" w:vAnchor="page" w:hAnchor="page" w:x="280" w:y="5636"/>
        <w:rPr>
          <w:rFonts w:ascii="Arial" w:cs="Arial" w:eastAsia="Arial" w:hAnsi="Arial"/>
          <w:sz w:val="16"/>
          <w:szCs w:val="16"/>
          <w:color w:val="auto"/>
        </w:rPr>
      </w:pPr>
      <w:r>
        <w:rPr>
          <w:rFonts w:ascii="Arial" w:cs="Arial" w:eastAsia="Arial" w:hAnsi="Arial"/>
          <w:sz w:val="16"/>
          <w:szCs w:val="16"/>
          <w:color w:val="auto"/>
        </w:rPr>
        <w:t>Bank deposits (1)</w:t>
      </w: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rFonts w:ascii="Arial" w:cs="Arial" w:eastAsia="Arial" w:hAnsi="Arial"/>
          <w:sz w:val="16"/>
          <w:szCs w:val="16"/>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NOTE 4: CASH AND CASH EQUIVALENTS</w:t>
      </w:r>
    </w:p>
    <w:p>
      <w:pPr>
        <w:spacing w:after="0" w:line="23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for immediate withdrawal</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equivalents—short-term deposits (1)</w:t>
            </w:r>
          </w:p>
        </w:tc>
        <w:tc>
          <w:tcPr>
            <w:tcW w:w="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23"/>
        </w:trPr>
        <w:tc>
          <w:tcPr>
            <w:tcW w:w="440" w:type="dxa"/>
            <w:vAlign w:val="bottom"/>
            <w:tcBorders>
              <w:bottom w:val="single" w:sz="8" w:color="CCEEFF"/>
            </w:tcBorders>
            <w:shd w:val="clear" w:color="auto" w:fill="CCEEFF"/>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16,961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21,674</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w:t>
            </w:r>
          </w:p>
        </w:tc>
        <w:tc>
          <w:tcPr>
            <w:tcW w:w="7500" w:type="dxa"/>
            <w:vAlign w:val="bottom"/>
            <w:vMerge w:val="restart"/>
          </w:tcPr>
          <w:p>
            <w:pPr>
              <w:ind w:left="220"/>
              <w:spacing w:after="0"/>
              <w:rPr>
                <w:sz w:val="20"/>
                <w:szCs w:val="20"/>
                <w:color w:val="auto"/>
              </w:rPr>
            </w:pPr>
            <w:r>
              <w:rPr>
                <w:rFonts w:ascii="Arial" w:cs="Arial" w:eastAsia="Arial" w:hAnsi="Arial"/>
                <w:sz w:val="18"/>
                <w:szCs w:val="18"/>
                <w:color w:val="auto"/>
                <w:w w:val="96"/>
              </w:rPr>
              <w:t>The deposits earn annual interest at the respective term of the deposits of approximately 0.5%.</w:t>
            </w: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NOTE 5: SHORT-TERM DEPOSITS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rFonts w:ascii="Arial" w:cs="Arial" w:eastAsia="Arial" w:hAnsi="Arial"/>
          <w:sz w:val="16"/>
          <w:szCs w:val="16"/>
          <w:color w:val="auto"/>
        </w:rPr>
      </w:pPr>
    </w:p>
    <w:p>
      <w:pPr>
        <w:jc w:val="center"/>
        <w:ind w:left="8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5362575</wp:posOffset>
            </wp:positionH>
            <wp:positionV relativeFrom="paragraph">
              <wp:posOffset>17145</wp:posOffset>
            </wp:positionV>
            <wp:extent cx="17741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 w:lineRule="exact"/>
        <w:rPr>
          <w:rFonts w:ascii="Arial" w:cs="Arial" w:eastAsia="Arial" w:hAnsi="Arial"/>
          <w:sz w:val="16"/>
          <w:szCs w:val="16"/>
          <w:color w:val="auto"/>
        </w:rPr>
      </w:pPr>
    </w:p>
    <w:p>
      <w:pPr>
        <w:ind w:left="894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rFonts w:ascii="Arial" w:cs="Arial" w:eastAsia="Arial" w:hAnsi="Arial"/>
          <w:sz w:val="16"/>
          <w:szCs w:val="16"/>
          <w:color w:val="auto"/>
        </w:rPr>
      </w:pPr>
    </w:p>
    <w:p>
      <w:pPr>
        <w:ind w:left="8440"/>
        <w:spacing w:after="0"/>
        <w:tabs>
          <w:tab w:leader="none" w:pos="9400" w:val="left"/>
          <w:tab w:leader="none" w:pos="9880" w:val="left"/>
          <w:tab w:leader="none" w:pos="10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221</w:t>
        <w:tab/>
        <w:t>$</w:t>
      </w:r>
      <w:r>
        <w:rPr>
          <w:sz w:val="20"/>
          <w:szCs w:val="20"/>
          <w:color w:val="auto"/>
        </w:rPr>
        <w:tab/>
      </w:r>
      <w:r>
        <w:rPr>
          <w:rFonts w:ascii="Arial" w:cs="Arial" w:eastAsia="Arial" w:hAnsi="Arial"/>
          <w:sz w:val="16"/>
          <w:szCs w:val="16"/>
          <w:color w:val="auto"/>
        </w:rPr>
        <w:t>221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5362575</wp:posOffset>
            </wp:positionH>
            <wp:positionV relativeFrom="paragraph">
              <wp:posOffset>31750</wp:posOffset>
            </wp:positionV>
            <wp:extent cx="17741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Short-term deposits at banks are for periods of up to one year. The deposits earn annual interest at the respective term of the deposits of approximately 0.5%.</w:t>
      </w:r>
    </w:p>
    <w:p>
      <w:pPr>
        <w:spacing w:after="0" w:line="38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8040" w:type="dxa"/>
            <w:vAlign w:val="bottom"/>
          </w:tcPr>
          <w:p>
            <w:pPr>
              <w:ind w:left="260"/>
              <w:spacing w:after="0"/>
              <w:rPr>
                <w:sz w:val="20"/>
                <w:szCs w:val="20"/>
                <w:color w:val="auto"/>
              </w:rPr>
            </w:pPr>
            <w:r>
              <w:rPr>
                <w:rFonts w:ascii="Arial" w:cs="Arial" w:eastAsia="Arial" w:hAnsi="Arial"/>
                <w:sz w:val="18"/>
                <w:szCs w:val="18"/>
                <w:color w:val="auto"/>
              </w:rPr>
              <w:t>Trade receivables, net: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4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accounts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6,279</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Credit cards</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2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0"/>
        </w:trPr>
        <w:tc>
          <w:tcPr>
            <w:tcW w:w="4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960" w:firstLine="8"/>
        <w:spacing w:after="0" w:line="500" w:lineRule="auto"/>
        <w:tabs>
          <w:tab w:leader="none" w:pos="6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Trade receivables generally have 90 day credit terms. Certain customers payments are made through monthly credit card transactions. Impaired debts are accounted for through recording an allowance for doubtful accounts.</w:t>
      </w:r>
    </w:p>
    <w:p>
      <w:pPr>
        <w:spacing w:after="0" w:line="2"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Movement in allowance for doubtful accounts:</w:t>
      </w:r>
    </w:p>
    <w:p>
      <w:pPr>
        <w:spacing w:after="0" w:line="221" w:lineRule="exact"/>
        <w:rPr>
          <w:sz w:val="20"/>
          <w:szCs w:val="20"/>
          <w:color w:val="auto"/>
        </w:rPr>
      </w:pPr>
    </w:p>
    <w:p>
      <w:pPr>
        <w:jc w:val="center"/>
        <w:ind w:left="9660"/>
        <w:spacing w:after="0"/>
        <w:rPr>
          <w:sz w:val="20"/>
          <w:szCs w:val="20"/>
          <w:color w:val="auto"/>
        </w:rPr>
      </w:pPr>
      <w:r>
        <w:rPr>
          <w:rFonts w:ascii="Arial" w:cs="Arial" w:eastAsia="Arial" w:hAnsi="Arial"/>
          <w:sz w:val="18"/>
          <w:szCs w:val="18"/>
          <w:b w:val="1"/>
          <w:bCs w:val="1"/>
          <w:color w:val="auto"/>
        </w:rPr>
        <w:t>U.S. dollars in</w:t>
      </w:r>
    </w:p>
    <w:p>
      <w:pPr>
        <w:spacing w:after="0" w:line="27" w:lineRule="exact"/>
        <w:rPr>
          <w:sz w:val="20"/>
          <w:szCs w:val="20"/>
          <w:color w:val="auto"/>
        </w:rPr>
      </w:pPr>
    </w:p>
    <w:p>
      <w:pPr>
        <w:jc w:val="center"/>
        <w:ind w:left="9660"/>
        <w:spacing w:after="0"/>
        <w:rPr>
          <w:sz w:val="20"/>
          <w:szCs w:val="20"/>
          <w:color w:val="auto"/>
        </w:rPr>
      </w:pPr>
      <w:r>
        <w:rPr>
          <w:rFonts w:ascii="Arial" w:cs="Arial" w:eastAsia="Arial" w:hAnsi="Arial"/>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04" w:right="339" w:bottom="42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Derecognition of bad debts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the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Derecognition of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br w:type="column"/>
      </w:r>
    </w:p>
    <w:p>
      <w:pPr>
        <w:ind w:left="1180" w:hanging="1173"/>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335</w:t>
      </w:r>
    </w:p>
    <w:p>
      <w:pPr>
        <w:spacing w:after="0" w:line="2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835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930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(556)</w:t>
      </w:r>
    </w:p>
    <w:p>
      <w:pPr>
        <w:spacing w:after="0" w:line="22" w:lineRule="exact"/>
        <w:rPr>
          <w:sz w:val="20"/>
          <w:szCs w:val="20"/>
          <w:color w:val="auto"/>
        </w:rPr>
      </w:pPr>
    </w:p>
    <w:p>
      <w:pPr>
        <w:ind w:left="1040" w:hanging="1033"/>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904" w:right="339" w:bottom="42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Following is information about the credit risk exposure of the Company’s trade receivables: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7"/>
            <w:vMerge w:val="restart"/>
          </w:tcPr>
          <w:p>
            <w:pPr>
              <w:jc w:val="right"/>
              <w:ind w:right="120"/>
              <w:spacing w:after="0"/>
              <w:rPr>
                <w:sz w:val="20"/>
                <w:szCs w:val="20"/>
                <w:color w:val="auto"/>
              </w:rPr>
            </w:pPr>
            <w:r>
              <w:rPr>
                <w:rFonts w:ascii="Arial" w:cs="Arial" w:eastAsia="Arial" w:hAnsi="Arial"/>
                <w:sz w:val="18"/>
                <w:szCs w:val="18"/>
                <w:b w:val="1"/>
                <w:bCs w:val="1"/>
                <w:color w:val="auto"/>
              </w:rPr>
              <w:t>U.S. dollars in thousands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Not past</w:t>
            </w:r>
          </w:p>
        </w:tc>
        <w:tc>
          <w:tcPr>
            <w:tcW w:w="280" w:type="dxa"/>
            <w:vAlign w:val="bottom"/>
          </w:tcPr>
          <w:p>
            <w:pPr>
              <w:spacing w:after="0"/>
              <w:rPr>
                <w:sz w:val="16"/>
                <w:szCs w:val="16"/>
                <w:color w:val="auto"/>
              </w:rPr>
            </w:pPr>
          </w:p>
        </w:tc>
        <w:tc>
          <w:tcPr>
            <w:tcW w:w="10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&lt;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30 - 60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9"/>
              </w:rPr>
              <w:t>61 - 90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91 - 120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&gt;120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7"/>
              </w:rPr>
              <w:t>due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days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2"/>
              </w:rPr>
              <w:t>days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2"/>
              </w:rPr>
              <w:t>days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days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days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U.S. dollars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carrying</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amount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Allowance for</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doubtful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accounts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Trade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December 31,</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7"/>
            <w:vMerge w:val="restart"/>
          </w:tcPr>
          <w:p>
            <w:pPr>
              <w:jc w:val="right"/>
              <w:ind w:right="120"/>
              <w:spacing w:after="0"/>
              <w:rPr>
                <w:sz w:val="20"/>
                <w:szCs w:val="20"/>
                <w:color w:val="auto"/>
              </w:rPr>
            </w:pPr>
            <w:r>
              <w:rPr>
                <w:rFonts w:ascii="Arial" w:cs="Arial" w:eastAsia="Arial" w:hAnsi="Arial"/>
                <w:sz w:val="18"/>
                <w:szCs w:val="18"/>
                <w:b w:val="1"/>
                <w:bCs w:val="1"/>
                <w:color w:val="auto"/>
              </w:rPr>
              <w:t>U.S. dollars in thousands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Not past</w:t>
            </w:r>
          </w:p>
        </w:tc>
        <w:tc>
          <w:tcPr>
            <w:tcW w:w="280" w:type="dxa"/>
            <w:vAlign w:val="bottom"/>
          </w:tcPr>
          <w:p>
            <w:pPr>
              <w:spacing w:after="0"/>
              <w:rPr>
                <w:sz w:val="16"/>
                <w:szCs w:val="16"/>
                <w:color w:val="auto"/>
              </w:rPr>
            </w:pPr>
          </w:p>
        </w:tc>
        <w:tc>
          <w:tcPr>
            <w:tcW w:w="10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&lt;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30 - 60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9"/>
              </w:rPr>
              <w:t>61 - 90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91 - 120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&gt;120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7"/>
              </w:rPr>
              <w:t>due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days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2"/>
              </w:rPr>
              <w:t>days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2"/>
              </w:rPr>
              <w:t>days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days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days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U.S. dollars 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carrying</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amount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Allowance for</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doubtful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accounts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Trade</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F-24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42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 NET (Continued)</w:t>
      </w:r>
    </w:p>
    <w:p>
      <w:pPr>
        <w:spacing w:after="0" w:line="22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As of December 31, 2020, the Company has over 90 days past due trade receivables, net of $ 1,553, of which $ 1,517 were paid between the reporting date and the date of the approval of the financial statements. The Company expects to collect the entire net amount of these debts.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NOTE 7: OTHER ACCOUNTS RECEIVABLE</w:t>
            </w:r>
          </w:p>
        </w:tc>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38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Accrued income-IIA</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Consumables</w:t>
            </w:r>
          </w:p>
        </w:tc>
        <w:tc>
          <w:tcPr>
            <w:tcW w:w="3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29"/>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w:t>
            </w:r>
          </w:p>
        </w:tc>
        <w:tc>
          <w:tcPr>
            <w:tcW w:w="3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w:t>
            </w:r>
          </w:p>
        </w:tc>
      </w:tr>
      <w:tr>
        <w:trPr>
          <w:trHeight w:val="223"/>
        </w:trPr>
        <w:tc>
          <w:tcPr>
            <w:tcW w:w="456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0"/>
        </w:trPr>
        <w:tc>
          <w:tcPr>
            <w:tcW w:w="4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4"/>
        </w:trPr>
        <w:tc>
          <w:tcPr>
            <w:tcW w:w="4560" w:type="dxa"/>
            <w:vAlign w:val="bottom"/>
          </w:tcPr>
          <w:p>
            <w:pPr>
              <w:spacing w:after="0"/>
              <w:rPr>
                <w:sz w:val="24"/>
                <w:szCs w:val="24"/>
                <w:color w:val="auto"/>
              </w:rPr>
            </w:pPr>
          </w:p>
        </w:tc>
        <w:tc>
          <w:tcPr>
            <w:tcW w:w="4180" w:type="dxa"/>
            <w:vAlign w:val="bottom"/>
            <w:gridSpan w:val="2"/>
          </w:tcPr>
          <w:p>
            <w:pPr>
              <w:jc w:val="right"/>
              <w:ind w:right="2850"/>
              <w:spacing w:after="0"/>
              <w:rPr>
                <w:sz w:val="20"/>
                <w:szCs w:val="20"/>
                <w:color w:val="auto"/>
              </w:rPr>
            </w:pPr>
            <w:r>
              <w:rPr>
                <w:rFonts w:ascii="Arial" w:cs="Arial" w:eastAsia="Arial" w:hAnsi="Arial"/>
                <w:sz w:val="18"/>
                <w:szCs w:val="18"/>
                <w:color w:val="auto"/>
              </w:rPr>
              <w:t>F-25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456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4"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ind w:left="66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Laboratory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Office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furniture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Leased</w:t>
            </w:r>
          </w:p>
        </w:tc>
        <w:tc>
          <w:tcPr>
            <w:tcW w:w="14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System</w:t>
            </w: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Right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b w:val="1"/>
                <w:bCs w:val="1"/>
                <w:color w:val="auto"/>
              </w:rPr>
              <w:t>Leasehold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Components</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Computers</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80"/>
              </w:rPr>
              <w:t>use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improvements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Balance at January 1, 2020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8,151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13,655</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4,057</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Transfer to Leased systems</w:t>
            </w: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r>
      <w:tr>
        <w:trPr>
          <w:trHeight w:val="209"/>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Balance at December 31, 2020</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8,620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14,590</w:t>
            </w:r>
          </w:p>
        </w:tc>
      </w:tr>
      <w:tr>
        <w:trPr>
          <w:trHeight w:val="209"/>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Accumulated depreciation: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1,618</w:t>
            </w:r>
          </w:p>
        </w:tc>
      </w:tr>
      <w:tr>
        <w:trPr>
          <w:trHeight w:val="22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0"/>
        </w:trPr>
        <w:tc>
          <w:tcPr>
            <w:tcW w:w="2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at December 31, 2020</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10"/>
        </w:trPr>
        <w:tc>
          <w:tcPr>
            <w:tcW w:w="2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Depreciated cost at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5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2500" w:type="dxa"/>
            <w:vAlign w:val="bottom"/>
          </w:tcPr>
          <w:p>
            <w:pPr>
              <w:ind w:left="660"/>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Laboratory</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Office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furniture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Leased</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System</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Right of</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b w:val="1"/>
                <w:bCs w:val="1"/>
                <w:color w:val="auto"/>
              </w:rPr>
              <w:t>Leasehold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systems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Components</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Computers</w:t>
            </w:r>
          </w:p>
        </w:tc>
        <w:tc>
          <w:tcPr>
            <w:tcW w:w="12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use assets</w:t>
            </w: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equipment</w:t>
            </w:r>
          </w:p>
        </w:tc>
        <w:tc>
          <w:tcPr>
            <w:tcW w:w="10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improvements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Cost: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660"/>
              <w:spacing w:after="0"/>
              <w:rPr>
                <w:sz w:val="20"/>
                <w:szCs w:val="20"/>
                <w:color w:val="auto"/>
              </w:rPr>
            </w:pPr>
            <w:r>
              <w:rPr>
                <w:rFonts w:ascii="Arial" w:cs="Arial" w:eastAsia="Arial" w:hAnsi="Arial"/>
                <w:sz w:val="18"/>
                <w:szCs w:val="18"/>
                <w:color w:val="auto"/>
              </w:rPr>
              <w:t>52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11,428</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Transfer to Leased systems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09"/>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Balance at December 31, 2019</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8,151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13,655</w:t>
            </w:r>
          </w:p>
        </w:tc>
      </w:tr>
      <w:tr>
        <w:trPr>
          <w:trHeight w:val="210"/>
        </w:trPr>
        <w:tc>
          <w:tcPr>
            <w:tcW w:w="2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Accumulated depreciation: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Additions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at December 31, 2019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r>
      <w:tr>
        <w:trPr>
          <w:trHeight w:val="209"/>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Depreciated cost at December 31,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7"/>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5,491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9,739</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450"/>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an amount lower than $ 1</w:t>
      </w:r>
    </w:p>
    <w:p>
      <w:pPr>
        <w:spacing w:after="0" w:line="225"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Derived mainly from systems leased to customers and sold</w:t>
      </w:r>
    </w:p>
    <w:p>
      <w:pPr>
        <w:spacing w:after="0" w:line="225" w:lineRule="exact"/>
        <w:rPr>
          <w:sz w:val="20"/>
          <w:szCs w:val="20"/>
          <w:color w:val="auto"/>
        </w:rPr>
      </w:pPr>
    </w:p>
    <w:p>
      <w:pPr>
        <w:ind w:left="560" w:hanging="458"/>
        <w:spacing w:after="0"/>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Includes impairment charge of $1,061 for the year ended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fair value measurement hierarchy for the Group’s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Quantitative disclosures of the fair value measurement hierarchy of the Group’s assets and liabilities as of December 31, 2020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Fair value hierarchy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w:t>
            </w:r>
          </w:p>
        </w:tc>
        <w:tc>
          <w:tcPr>
            <w:tcW w:w="26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measured at fair value:</w:t>
            </w: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Liability in respect of warrants</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31.12.2020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Liability in respect of warrants</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31.12.2019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The fair value of the warrants for the years ended December 31, 2020 and 2019 was estimated using the Binomial model with the following assumptions:</w:t>
      </w:r>
    </w:p>
    <w:p>
      <w:pPr>
        <w:spacing w:after="0" w:line="180"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Expected volatility (%)</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56.58%</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TRADE PAYABLES</w:t>
      </w:r>
    </w:p>
    <w:p>
      <w:pPr>
        <w:spacing w:after="0" w:line="239"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6" w:lineRule="exact"/>
        <w:rPr>
          <w:sz w:val="20"/>
          <w:szCs w:val="20"/>
          <w:color w:val="auto"/>
        </w:rPr>
      </w:pPr>
    </w:p>
    <w:p>
      <w:pPr>
        <w:ind w:left="8600"/>
        <w:spacing w:after="0"/>
        <w:tabs>
          <w:tab w:leader="none" w:pos="102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tabs>
          <w:tab w:leader="none" w:pos="7980" w:val="left"/>
          <w:tab w:leader="none" w:pos="9180" w:val="left"/>
          <w:tab w:leader="none" w:pos="9660" w:val="left"/>
          <w:tab w:leader="none" w:pos="10700" w:val="left"/>
        </w:tabs>
        <w:rPr>
          <w:sz w:val="20"/>
          <w:szCs w:val="20"/>
          <w:color w:val="auto"/>
        </w:rPr>
      </w:pPr>
      <w:r>
        <w:rPr>
          <w:rFonts w:ascii="Arial" w:cs="Arial" w:eastAsia="Arial" w:hAnsi="Arial"/>
          <w:sz w:val="18"/>
          <w:szCs w:val="18"/>
          <w:color w:val="auto"/>
        </w:rPr>
        <w:t>Open debt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781</w:t>
        <w:tab/>
        <w:t>$</w:t>
      </w:r>
      <w:r>
        <w:rPr>
          <w:sz w:val="20"/>
          <w:szCs w:val="20"/>
          <w:color w:val="auto"/>
        </w:rPr>
        <w:tab/>
      </w:r>
      <w:r>
        <w:rPr>
          <w:rFonts w:ascii="Arial" w:cs="Arial" w:eastAsia="Arial" w:hAnsi="Arial"/>
          <w:sz w:val="16"/>
          <w:szCs w:val="16"/>
          <w:color w:val="auto"/>
        </w:rPr>
        <w:t>1,320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40005</wp:posOffset>
            </wp:positionV>
            <wp:extent cx="20574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 payables are non-interest bearing and are normally settled on up to 90 day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ACCOUNTS PAYABLE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and payroll accruals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2,266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Liabilities to related parties (1)</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3,769</w:t>
            </w:r>
          </w:p>
        </w:tc>
        <w:tc>
          <w:tcPr>
            <w:tcW w:w="640" w:type="dxa"/>
            <w:vAlign w:val="bottom"/>
            <w:gridSpan w:val="3"/>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(1) A current non-interest bearing account.</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12: NON-CURRENT LIABILITIES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a.</w:t>
            </w:r>
          </w:p>
        </w:tc>
        <w:tc>
          <w:tcPr>
            <w:tcW w:w="7820" w:type="dxa"/>
            <w:vAlign w:val="bottom"/>
          </w:tcPr>
          <w:p>
            <w:pPr>
              <w:ind w:left="480"/>
              <w:spacing w:after="0"/>
              <w:rPr>
                <w:sz w:val="20"/>
                <w:szCs w:val="20"/>
                <w:color w:val="auto"/>
              </w:rPr>
            </w:pPr>
            <w:r>
              <w:rPr>
                <w:rFonts w:ascii="Arial" w:cs="Arial" w:eastAsia="Arial" w:hAnsi="Arial"/>
                <w:sz w:val="18"/>
                <w:szCs w:val="18"/>
                <w:color w:val="auto"/>
              </w:rPr>
              <w:t>Composition:</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(c)</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Liability in respect of research and development grants(d)</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5,524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revenues and other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1,772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Lease liabilities(b)</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7,577</w:t>
            </w:r>
          </w:p>
        </w:tc>
        <w:tc>
          <w:tcPr>
            <w:tcW w:w="640" w:type="dxa"/>
            <w:vAlign w:val="bottom"/>
            <w:gridSpan w:val="3"/>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left="2280"/>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left="22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NON-CURRENT LIABILITIES (Continued)</w:t>
      </w:r>
    </w:p>
    <w:p>
      <w:pPr>
        <w:spacing w:after="0" w:line="229"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Lease liabilities: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One to five years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Impact of discounting  remaining lease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liabilities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One to five years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Impact of discounting remaining lease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liabilities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Loan from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December 31, 2020</w:t>
      </w:r>
    </w:p>
    <w:p>
      <w:pPr>
        <w:spacing w:after="0" w:line="26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463</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775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672</w:t>
      </w:r>
    </w:p>
    <w:p>
      <w:pPr>
        <w:spacing w:after="0" w:line="22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672</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429</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243</w:t>
      </w:r>
    </w:p>
    <w:p>
      <w:pPr>
        <w:spacing w:after="0" w:line="265" w:lineRule="exact"/>
        <w:rPr>
          <w:sz w:val="20"/>
          <w:szCs w:val="20"/>
          <w:color w:val="auto"/>
        </w:rPr>
      </w:pPr>
    </w:p>
    <w:p>
      <w:pPr>
        <w:ind w:left="1180" w:hanging="1173"/>
        <w:spacing w:after="0"/>
        <w:tabs>
          <w:tab w:leader="none" w:pos="1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December 31, 2019</w:t>
      </w:r>
    </w:p>
    <w:p>
      <w:pPr>
        <w:spacing w:after="0" w:line="2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1,414</w:t>
      </w:r>
    </w:p>
    <w:p>
      <w:pPr>
        <w:spacing w:after="0" w:line="22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1,077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663</w:t>
      </w:r>
    </w:p>
    <w:p>
      <w:pPr>
        <w:spacing w:after="0" w:line="265" w:lineRule="exact"/>
        <w:rPr>
          <w:sz w:val="20"/>
          <w:szCs w:val="20"/>
          <w:color w:val="auto"/>
        </w:rPr>
      </w:pPr>
    </w:p>
    <w:p>
      <w:pPr>
        <w:ind w:left="1040" w:hanging="1033"/>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1,077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8960" w:space="720"/>
            <w:col w:w="1560"/>
          </w:cols>
          <w:pgMar w:left="320" w:top="688" w:right="339" w:bottom="1440" w:gutter="0" w:footer="0" w:header="0"/>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17, 2017, the Company entered into an agreement for the receipt of a bank credit facility of up to $ 6,000 (the “Bank Credit Facility”).</w:t>
      </w:r>
    </w:p>
    <w:p>
      <w:pPr>
        <w:spacing w:after="0" w:line="46" w:lineRule="exact"/>
        <w:rPr>
          <w:sz w:val="20"/>
          <w:szCs w:val="20"/>
          <w:color w:val="auto"/>
        </w:rPr>
      </w:pPr>
    </w:p>
    <w:p>
      <w:pPr>
        <w:jc w:val="both"/>
        <w:ind w:left="660" w:hanging="4"/>
        <w:spacing w:after="0" w:line="252" w:lineRule="auto"/>
        <w:tabs>
          <w:tab w:leader="none" w:pos="79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3,000 was withdrawn during 2018 (“the first facility”) and bear annual interest of 3-months LIBOR plus 6%. The remaining credit facility (“the second facility”) may be withdrawn until March 15, 2018 bearing annual interest 3-months LIBOR plus 6.75%. The interest on the loans is payable on a quarterly basis and the loan principal is repayable in eight equal consecutive quarterly installments, whereby the first installment is due at the end of 18 and 12 months from the date of withdrawal of the loans from the first and second facilities, respectively. Also, according to the agreement, the Company will grant the bank warrants to purchase its ordinary shares for the total exercise price of up to $ 600. The warrants are exercisable for a period of five years from the date of any grant at an exercise price of $ 5.02 per share to be settled in cash or a cashless exercise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NON-CURRENT LIABILITIES (Continued)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October 3, 2017, the Company granted the bank 59,761 warrants at an aggregate exercise price of $300 as a condition for receiving the first facility.</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fair value of the warrants at the grant date was estimated at $ 150 and the remaining balance of $2,850 was attributed to the loan. Transaction costs of $ 156 were allocated based on to the relative fair value of the warrants and loan. The warrants are classified as a financial liability and measured at fair value through profit or loss.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remaining warrants will be granted on the date of withdrawal of the loan from the second facility, so that the exercise amount will constitute 10% of the loan actually withdrawn from the second facility. The Company is entitled to make an early repayment of all or part of the loans. In such a case, the Company will pay the bank an early repayment fee as detailed in the agreement.</w:t>
      </w:r>
    </w:p>
    <w:p>
      <w:pPr>
        <w:spacing w:after="0" w:line="18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part of the agreement, and as a condition for using the first and second facilities, the Group undertook to provide the bank fixed and floating charges on all its assets, including property, cash, goodwill, intellectual property, rights and assets of any kind. In addition, the Group undertook to sign a guarantee letter, unlimited in amount, to secure the loans that will be provided by virtue of the agreement. Also, a senior fixed charge, unlimited in amount, was provided on a specific deposit in which an amount of not less than $ 2,000 was deposited (“the deposited amount”). It was agreed that if by March 16, 2018, the amount of loans actually withdrawn is less than $ 6,000, the deposited amount would be placed at one-third of the actual amount of loans outstanding on that date.</w:t>
      </w:r>
    </w:p>
    <w:p>
      <w:pPr>
        <w:spacing w:after="0" w:line="192"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In accordance with the amendments to the agreement signed up to March 14, 2019, loans under the Second facility may be withdrawn until May 30, 2019. The other terms of the first and second facility remain unchanged.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5, 2019, following the Company's initial public offering, the Company repaid the balance of the loan.</w:t>
      </w:r>
    </w:p>
    <w:p>
      <w:pPr>
        <w:spacing w:after="0" w:line="225"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25"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In July 2020, the Company received $638 as a loan from the Paycheck Protection Program in the United States (the “Program”). The terms of the Program provide that a portion of the loan may be forgiven, to the extent that the amounts spent during the eight-week period were on qualifying expenses (“Program Expenses”). The unforgiven part of the loan must be repaid within two years and bears interest at 1% per annum. The Company used the entire proceeds to pay Program Expenses and received approval for the loan forgiveness. Therefore, the loan has been recorded as a grant against the related Program Expenses.</w:t>
      </w:r>
    </w:p>
    <w:p>
      <w:pPr>
        <w:spacing w:after="0" w:line="18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Moach received from the Israeli Government participation grants in research and development and, in return, it is currently obligated to pay royalties amounting to 3% of sales of products from such grants up to 100% of total grants received.</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the maximum royalties payable by the Company in the future in respect of active projects is $12,548, including interest at the LIBOR rate. Through December 31, 2020, royalties paid were $2,624.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229"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Classification of financial assets and financial liabilities: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financial assets and financial liabilities in the statement of financial position are measured at amortized cost, except financial liabilities in respect of warrants at fair value through profit or loss. The balance of financial liabilities in respect of warrants as of December 31, 2020 and 2019 was $ 38 and $78, respectively.</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Financial risks factors: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Group’s activities expose it to various financial risks such as market risks (foreign currency risk, interest risk), credit risk and liquidity risk. The Group’s comprehensive risk management plan focuses on activities that reduce to a minimum any possible adverse effects on the Group’s financial performance.</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Company’s Chief Financial Officer oversees the management of these risks in accordance with the policies approved by the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Market risks: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i w:val="1"/>
          <w:iCs w:val="1"/>
          <w:color w:val="auto"/>
        </w:rPr>
        <w:t>Foreign currency risk:</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currency exposure arises from current accounts and deposits that are mainly managed in NIS and from liability in respect of employee payroll accruals that are paid in NIS.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Company's exposure to the risk of changes in market interest rates relates primarily to the Company's long-term liabilities in respect of government grants received from IIA.</w:t>
      </w:r>
    </w:p>
    <w:p>
      <w:pPr>
        <w:spacing w:after="0" w:line="170"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Regulators in many countries are in the process of replacing benchmark Interbank Offered Rates (IBORs), of which one of the most common is the LIBOR, with risk-free interest rate alternatives (RFRs). The replacement of IBORs with RFRs is expected to occur gradually until the end of 2021.</w:t>
      </w:r>
    </w:p>
    <w:p>
      <w:pPr>
        <w:spacing w:after="0" w:line="183"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The repayment of grants received by the Company from 2020 have interest rate that reference LIBOR and are expected to be repaid after 2021. As of December 31, 2020, the carrying amount of the financial liabilities is $300. Since an alternative interest rate was not determined by the IIA yet, at this stage the Company is unable to determine the effects, if any, that the discontinuance of IBORs will have on its financial instruments that reference the IBORs.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Credit risk is the risk that a counterparty will not meet its obligations as a customer or under a financial instrument leading to a loss to the Group. The Group is exposed to credit risk from its operating activity (primarily trade receivables).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Group monitors its risk of a shortage of cash using a quarterly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(Continued)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table below presents the maturity profile of the Group’s financial liabilities based on contractual undiscounted payments: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1 to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2 to 3</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3 to 4</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4 to 5</w:t>
            </w:r>
          </w:p>
        </w:tc>
        <w:tc>
          <w:tcPr>
            <w:tcW w:w="22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&gt; 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3,340</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Liability in respect of research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development grants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13,156</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09"/>
        </w:trPr>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3"/>
        </w:trPr>
        <w:tc>
          <w:tcPr>
            <w:tcW w:w="26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1,012</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8,108</w:t>
            </w:r>
          </w:p>
        </w:tc>
        <w:tc>
          <w:tcPr>
            <w:tcW w:w="12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18,052</w:t>
            </w:r>
          </w:p>
        </w:tc>
      </w:tr>
      <w:tr>
        <w:trPr>
          <w:trHeight w:val="20"/>
        </w:trPr>
        <w:tc>
          <w:tcPr>
            <w:tcW w:w="27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2019:</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1 to 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2 to 3</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3 to 4</w:t>
            </w:r>
          </w:p>
        </w:tc>
        <w:tc>
          <w:tcPr>
            <w:tcW w:w="2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4 to 5</w:t>
            </w:r>
          </w:p>
        </w:tc>
        <w:tc>
          <w:tcPr>
            <w:tcW w:w="220" w:type="dxa"/>
            <w:vAlign w:val="bottom"/>
          </w:tcPr>
          <w:p>
            <w:pPr>
              <w:spacing w:after="0"/>
              <w:rPr>
                <w:sz w:val="24"/>
                <w:szCs w:val="24"/>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&gt; 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5"/>
              </w:rPr>
              <w:t>Liability in respect of research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development grants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13,602</w:t>
            </w:r>
          </w:p>
        </w:tc>
      </w:tr>
      <w:tr>
        <w:trPr>
          <w:trHeight w:val="22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10"/>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43"/>
        </w:trPr>
        <w:tc>
          <w:tcPr>
            <w:tcW w:w="26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19,181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Fair value:</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carrying amount of cash and cash equivalents, short-term deposits, trade receivables, other accounts receivable, trade payables, other accounts payable, warrants, long-term liabilities approximate their fair value.</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Financial liabilities measured at fair value:</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at January 1, 2020</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transferred to the statement of comprehensive loss as finance income</w:t>
            </w:r>
          </w:p>
        </w:tc>
        <w:tc>
          <w:tcPr>
            <w:tcW w:w="1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8"/>
                <w:szCs w:val="18"/>
                <w:color w:val="auto"/>
              </w:rPr>
              <w:t>Closing balance at December 31, 2020</w:t>
            </w:r>
          </w:p>
        </w:tc>
        <w:tc>
          <w:tcPr>
            <w:tcW w:w="2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460"/>
              <w:spacing w:after="0"/>
              <w:rPr>
                <w:sz w:val="20"/>
                <w:szCs w:val="20"/>
                <w:color w:val="auto"/>
              </w:rPr>
            </w:pPr>
            <w:r>
              <w:rPr>
                <w:rFonts w:ascii="Arial" w:cs="Arial" w:eastAsia="Arial" w:hAnsi="Arial"/>
                <w:sz w:val="18"/>
                <w:szCs w:val="18"/>
                <w:color w:val="auto"/>
              </w:rPr>
              <w:t>F-33</w:t>
            </w:r>
          </w:p>
        </w:tc>
        <w:tc>
          <w:tcPr>
            <w:tcW w:w="1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74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74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2020, 2019 and 2018, there were no transfers between levels of the fair value hierarchy.</w:t>
      </w:r>
    </w:p>
    <w:p>
      <w:pPr>
        <w:spacing w:after="0" w:line="225"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Sensitivity tests relating to changes in foreign currency:</w:t>
      </w:r>
    </w:p>
    <w:p>
      <w:pPr>
        <w:spacing w:after="0" w:line="235"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Sensitivity test to changes in the NIS exchange rate: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Gain (loss) from the change: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of 5% in exchange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Decrease of 5% in exchange rate</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the Company has excess of financial assets over financial liabilities in NIS in relation to US dollar of $ 2,001.</w:t>
      </w:r>
    </w:p>
    <w:p>
      <w:pPr>
        <w:spacing w:after="0" w:line="237"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As of December 31, 2020, the Company has excess of financial assets over financial liabilities in Euro and Yen in relation to US dollar of $ 3,198 and $ 437, respectively. An increase or decrease of 5% of the US dollar relative to the Euro or Yen would not have a significant effect on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tests and principal work assumptions: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selected changes in the relevant risk variables were determined based on management’s estimate as to reasonable possible changes in these risk variables.</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has performed sensitivity tests of principal market risk factors that are liable to affect its reported operating results or financial position. The sensitivity tests present the profit or loss in respect of each financial instrument for the relevant risk variables chosen for that instrument as of each reporting date. The test of risk factors was determined based on the materiality of the exposure of the operating results or financial condition of each risk with reference to the functional currency and assuming that all the other variables are constant.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BENEFITS AND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benefits consist of short-term and post-employment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Defined contribution plans: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Section 14 to the Severance Pay Law, 1963 applies to all of the Company’s employees pursuant to which the fixed contributions paid by the Group into pension funds and/or policies of insurance companies release the Group from any additional liability to employees for whom said contributions were made. These contributions benefits represent defined contribution plans.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Expense in respect of defined contribution plans was $258 and $325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w:t>
      </w:r>
    </w:p>
    <w:p>
      <w:pPr>
        <w:spacing w:after="0" w:line="229"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 rates applicable to the Company and subsidiaries: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Tax rate applicable to Company and Moach:</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In December 2016, the Economic Efficiency Law (Legislative Amendments for Applying the Economic Policy for the 2018 and 2019 Budget Years), 2018 was approved, which reduces the corporate income tax rate to 24% (from 25%) effective from January 1, 2018 and to 23% effective from January 1, 2019.</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Israeli corporate income tax rate was 23% for 2018 and thereafter.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company is taxable on its real capital gains at the corporate income tax rate in the year of sale.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Tax rate applicable to USA Inc and Inc:</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weighted tax rate for 2018 and thereafter for companies incorporated in the US was 27% and 35%-40% (Federal, State and City tax of the city where the company operates), respectively.</w:t>
      </w:r>
    </w:p>
    <w:p>
      <w:pPr>
        <w:spacing w:after="0" w:line="170"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On December 22, 2018, the Tax Cuts and Jobs Act (the “Act”) was enacted into law. The income tax effects of changes in tax laws are recognized in the period when enacted. The Act provides for numerous significant tax law changes and modifications with varying effective dates, which include reducing the corporate federal income tax rate from 35% to 21%, creating a semi-territorial tax system (with a one-time mandatory tax on previously deferred foreign earnings), broadening the tax base and allowing for immediate capital expensing of certain qualified property.</w:t>
      </w:r>
    </w:p>
    <w:p>
      <w:pPr>
        <w:spacing w:after="0" w:line="187"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The Act also changed to a semi-territorial system. As a result, a one-time transition tax is imposed on the accumulated earnings and profits of the foreign subsidiaries of the US entities. The Company’s subsidiaries in the United States do not have any profitable foreign subsidiaries and, therefore, the remaining provisions of the Act have no material impact on the Company’s results of operations.</w:t>
      </w:r>
    </w:p>
    <w:p>
      <w:pPr>
        <w:spacing w:after="0" w:line="148"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main differences between the statutory corporate tax rate and the effective tax rate are carryforward losses in Israel in respect of which no deferred taxes were recorded and a current tax expense in respect of income of USA Inc and Inc.</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 benefits under the Israel Law for the Encouragement of Capital Investments, 1959 (“Law”) and Amendment to the Law for the Encouragement of Capital Investments, 1959 (Amendment 73):</w:t>
      </w:r>
    </w:p>
    <w:p>
      <w:pPr>
        <w:spacing w:after="0" w:line="170"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December 2016, the Economic Efficiency Law (Legislative Amendments for Applying the Economic Policy for the 2018 and 2019 Budget Years), 2016 which includes Amendment 73 to the Law for the Encouragement of Capital Investments (“the amendment”) was published. According to the amendment, a “beneficiary enterprise” located in development area A will be subject to a tax rate of 7.5% instead of 9% effective from January 1, 2018 and thereafter (the tax rate applicable to preferred enterprises located in other areas remains at 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TAXES ON INCOME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also prescribes special tax tracks for technological enterprises, which became effective in 2018, as follows: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Technological preferred enterprise—an enterprise for which total consolidated revenues of its parent company and all subsidiaries are less than NIS 10 billion. A technological preferred enterprise, as defined in the amendment, which is located in the center of Israel will be subject to tax at a rate of 12% on profits deriving from intellectual property (in development area A - 7.5%).</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Any dividends distributed to a “foreign company”, as defined in the amendment, deriving from income from the technological preferred enterprise will be subject to tax at a rate of 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Law for the Encouragement of Industry (Taxation), 1969:</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Moach has the status of an “industrial company”, as defined by this law. According to this status and by virtue of regulations published thereunder, the Company is entitled to claim a deduction of accelerated depreciation on equipment used in industrial activities, as determined in the regulations issued under the Inflationary Law. The Company is also entitled to amortize a patent or rights to use a patent or intellectual property that are used in the enterprise’s development or advancement, to deduct issuance expenses for shares listed for trading and to file a consolidated report under certain conditions.</w:t>
      </w:r>
    </w:p>
    <w:p>
      <w:pPr>
        <w:spacing w:after="0" w:line="18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Subject to meeting criteria determined in the Law and amendment, at the time Moach becomes profitable for tax purposes, Moach will be entitled to various corporate tax benefits, as implied by the Law and amendment.</w:t>
      </w:r>
    </w:p>
    <w:p>
      <w:pPr>
        <w:spacing w:after="0" w:line="170"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received final tax assessments through the 2015 tax year. The subsidiary, Moach, received final tax assessments through 2015. The subsidiary, Inc, received final tax assessments through the 2017 tax year.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Carryforward losses for tax purposes as of December 31, 2020 are approximately $4.0 $49.3 million in Moach.</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million in Brainsway Ltd. and approximately</w:t>
      </w:r>
    </w:p>
    <w:p>
      <w:pPr>
        <w:spacing w:after="0" w:line="440" w:lineRule="exact"/>
        <w:rPr>
          <w:sz w:val="20"/>
          <w:szCs w:val="20"/>
          <w:color w:val="auto"/>
        </w:rPr>
      </w:pPr>
    </w:p>
    <w:p>
      <w:pPr>
        <w:sectPr>
          <w:pgSz w:w="11900" w:h="16838" w:orient="portrait"/>
          <w:cols w:equalWidth="0" w:num="2">
            <w:col w:w="7460" w:space="280"/>
            <w:col w:w="3500"/>
          </w:cols>
          <w:pgMar w:left="320" w:top="688" w:right="339" w:bottom="1440" w:gutter="0" w:footer="0" w:header="0"/>
          <w:type w:val="continuous"/>
        </w:sectPr>
      </w:pPr>
    </w:p>
    <w:p>
      <w:pPr>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Deferred taxes:</w:t>
      </w:r>
    </w:p>
    <w:p>
      <w:pPr>
        <w:spacing w:after="0" w:line="200" w:lineRule="exact"/>
        <w:rPr>
          <w:sz w:val="20"/>
          <w:szCs w:val="20"/>
          <w:color w:val="auto"/>
        </w:rPr>
      </w:pPr>
    </w:p>
    <w:p>
      <w:pPr>
        <w:sectPr>
          <w:pgSz w:w="11900" w:h="16838" w:orient="portrait"/>
          <w:cols w:equalWidth="0" w:num="2">
            <w:col w:w="140" w:space="520"/>
            <w:col w:w="10580"/>
          </w:cols>
          <w:pgMar w:left="320" w:top="688" w:right="339" w:bottom="1440" w:gutter="0" w:footer="0" w:header="0"/>
          <w:type w:val="continuous"/>
        </w:sectPr>
      </w:pPr>
    </w:p>
    <w:p>
      <w:pPr>
        <w:spacing w:after="0" w:line="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it is not probable that taxable income will be derived in the next years, a valuation allowance was established in respect of deferred taxes of the above carryforward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w:t>
      </w:r>
    </w:p>
    <w:p>
      <w:pPr>
        <w:spacing w:after="0" w:line="229"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for contingent liability in respect of payment of royalties to the IIA, see Note 12d.</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entered into a few distribution agreements with third parties regarding different territories around the world. According to these distribution agreements, the third parties are granted the exclusive right to market, distribute, lease and/or sale, use and promote sales of the systems in the different territories up to a 15 year period. The Company will supply the systems to the distributors and they will install, train and maintain the systems in the territory they operate. The different distributors are committed to minimum quantities as stated in the agreements.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September 2013, the Company entered into a distribution agreement in Japan with Century Medical Inc., a member of the Itochu concern, which specializes in the import and distribution of medical systems and equipment in Japan. According to the agreement, the distributor was granted the exclusive right to market the Company’s system for the treatment of major depression in patients in Japan for a ten year period which begins after the required regulatory approvals for marketing the system in Japan and after either obtaining reimbursement or deployment of a commercial product to a clinical site. If the distributor meets the minimum quantities which it has committed during the contractual term, the agreement will be extended for an additional five years period. The distributor is granted a right of first offer to distribute the Company’s system in Japan without further codification.</w:t>
      </w:r>
    </w:p>
    <w:p>
      <w:pPr>
        <w:spacing w:after="0" w:line="194"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In consideration for the above, the distributor is obligated to pay the Company distribution fees of 190 million Yen (approximately $1.8 million), whereby 100 million Yen (approximately $1 million as of December 31, 2020) paid in September 2013 and 90 million Yen (approximately $0.8 million as of December 31, 2020) paid in 2019.</w:t>
      </w:r>
    </w:p>
    <w:p>
      <w:pPr>
        <w:spacing w:after="0" w:line="183"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In each year of the agreement in which the distributor meets the respective annual predetermined revenue target, 10% of the distribution fees are returned to the distributor. The distribution fee which the Company expects to be entitled to is presented in deferred revenues and is recognized as revenue during the estimated exclusivity term. The distributor will pay the Company for any treatment made with the Company’s system (pay-per-use), but in no case less than the pre-determined annual amount. The agreement prescribes conditions in which the Company or the distributor can cancel the agreement, including the authorities’ demand to require a clinical trial and non-compliance with the requirement to purchase minimum predetermined quantities.</w:t>
      </w:r>
    </w:p>
    <w:p>
      <w:pPr>
        <w:spacing w:after="0" w:line="192" w:lineRule="exact"/>
        <w:rPr>
          <w:rFonts w:ascii="Arial" w:cs="Arial" w:eastAsia="Arial" w:hAnsi="Arial"/>
          <w:sz w:val="18"/>
          <w:szCs w:val="18"/>
          <w:color w:val="auto"/>
        </w:rPr>
      </w:pPr>
    </w:p>
    <w:p>
      <w:pPr>
        <w:jc w:val="both"/>
        <w:ind w:left="660"/>
        <w:spacing w:after="0" w:line="275" w:lineRule="auto"/>
        <w:rPr>
          <w:rFonts w:ascii="Arial" w:cs="Arial" w:eastAsia="Arial" w:hAnsi="Arial"/>
          <w:sz w:val="18"/>
          <w:szCs w:val="18"/>
          <w:color w:val="auto"/>
        </w:rPr>
      </w:pPr>
      <w:r>
        <w:rPr>
          <w:rFonts w:ascii="Arial" w:cs="Arial" w:eastAsia="Arial" w:hAnsi="Arial"/>
          <w:sz w:val="17"/>
          <w:szCs w:val="17"/>
          <w:color w:val="auto"/>
        </w:rPr>
        <w:t>The agreement sets a minimum payment threshold to the Company that is examined every few years throughout the contractual term. If the distributor does not qualify for the minimum payment threshold at the end of each period, the Company will be entitled to terminate the distribution agreement, unless the parties reach another agreement between them. The agreement further determines that the distributor will act on its account to receive the regulatory approvals that are required to market the Company’s system for the treatment of depression in patients in Japan and to receive reimbursement coverage at the price range established in the agreement.</w:t>
      </w:r>
    </w:p>
    <w:p>
      <w:pPr>
        <w:spacing w:after="0" w:line="176"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January 22, 2018, the distributor in Japan applied to the Pharmaceutical and Medical Devices Agency (“PMDA”), which is responsible for all import and export licenses of pharmaceuticals and medical equipment to Japan, for approval of marketing and selling the Company’s systems in Japan. On January 2019, approval of the PMDA was received.</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currently working through its distributor in Japan with the relevant bodies in Japan to update the local society guidelines to include Deep TMS in order to obtain reimbursement coverage under the Japanese National Health Insurance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9" w:lineRule="exact"/>
        <w:rPr>
          <w:sz w:val="20"/>
          <w:szCs w:val="20"/>
          <w:color w:val="auto"/>
        </w:rPr>
      </w:pPr>
    </w:p>
    <w:p>
      <w:pPr>
        <w:jc w:val="both"/>
        <w:ind w:left="660" w:hanging="652"/>
        <w:spacing w:after="0" w:line="263"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August 25, 2013, the Company received the approval of the MAGNET committee of the IIA for the development plan of the BSMT tool (brain stimulate and monitor tool). The plan was approved for three years and extended up to five years, in the framework of which the Company was approved work plans with participation rate of up to 66% of a non-royalty bearing grant.</w:t>
      </w:r>
    </w:p>
    <w:p>
      <w:pPr>
        <w:spacing w:after="0" w:line="183"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In September 2017 and October 2018, the MAGNET committee approved an annual work plan for the fifth year with the budget of NIS 2,300, of out of which 55% (NIS 1,300) was provided to the Company as non-royalty bearing grants to date. The execution of this plan was completed by December 31, 2018.</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March 2014, the Company entered into an exclusive marketing and distribution agreement of the Company’s system with a third party in Israel for a maximum period of 15 years, subject to meeting minimum sales targets as set in the agreement. In April 2014, the distributor paid the Company a one-time exclusivity fee of NIS 1 million. Effective July 2019, the Company assumed direct operations for customers in Israel, after terminating its distribution agreement with the third-party distributor, pursuant to which a portion of the exclusivity fee (up to NIS 600) was determined to be refundable depending on future sales.</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License agreements:</w:t>
      </w:r>
    </w:p>
    <w:p>
      <w:pPr>
        <w:spacing w:after="0" w:line="225" w:lineRule="exact"/>
        <w:rPr>
          <w:rFonts w:ascii="Arial" w:cs="Arial" w:eastAsia="Arial" w:hAnsi="Arial"/>
          <w:sz w:val="18"/>
          <w:szCs w:val="18"/>
          <w:color w:val="auto"/>
        </w:rPr>
      </w:pPr>
    </w:p>
    <w:p>
      <w:pPr>
        <w:jc w:val="both"/>
        <w:ind w:left="1300" w:hanging="644"/>
        <w:spacing w:after="0" w:line="296" w:lineRule="auto"/>
        <w:tabs>
          <w:tab w:leader="none" w:pos="13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 July 2003, Inc signed a license agreement with the agencies of the U.S. Public Health Service within the U.S. Department of Health and Human Services (“PHS”), according to which the Company was granted an exclusive license to develop, manufacture, make use of, market, sell and import products and processes to be developed in the framework of the license agreement with respect to TMS and a right to enter into sublicense agreements, subject to approval of the PHS. In return, Inc is committed to pay PHS royalties at fixed annual amount of $2 from January 1, 2004 and royalties of 2% of net sales beyond this amount as defined in the agreement.</w:t>
      </w:r>
    </w:p>
    <w:p>
      <w:pPr>
        <w:spacing w:after="0" w:line="161"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In addition, if Inc enters into a sub-license agreement, it is committed to pay royalties of 8% of the net consideration received for the grant of the sub-license. The current provision for royalties as of December 31, 2020 is $259.</w:t>
      </w:r>
    </w:p>
    <w:p>
      <w:pPr>
        <w:spacing w:after="0" w:line="170" w:lineRule="exact"/>
        <w:rPr>
          <w:rFonts w:ascii="Arial" w:cs="Arial" w:eastAsia="Arial" w:hAnsi="Arial"/>
          <w:sz w:val="16"/>
          <w:szCs w:val="16"/>
          <w:color w:val="auto"/>
        </w:rPr>
      </w:pPr>
    </w:p>
    <w:p>
      <w:pPr>
        <w:ind w:left="1300" w:right="20"/>
        <w:spacing w:after="0" w:line="277" w:lineRule="auto"/>
        <w:rPr>
          <w:rFonts w:ascii="Arial" w:cs="Arial" w:eastAsia="Arial" w:hAnsi="Arial"/>
          <w:sz w:val="16"/>
          <w:szCs w:val="16"/>
          <w:color w:val="auto"/>
        </w:rPr>
      </w:pPr>
      <w:r>
        <w:rPr>
          <w:rFonts w:ascii="Arial" w:cs="Arial" w:eastAsia="Arial" w:hAnsi="Arial"/>
          <w:sz w:val="18"/>
          <w:szCs w:val="18"/>
          <w:color w:val="auto"/>
        </w:rPr>
        <w:t>The agreement is valid until the expiration of the last to expire of the licensed patent rights under the agreement. PHS is entitled to cancel the agreement if Inc does not comply with the conditions detailed in the agreement.</w:t>
      </w:r>
    </w:p>
    <w:p>
      <w:pPr>
        <w:spacing w:after="0" w:line="170"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In June 2005 and March 2010, Inc signed a research and licensing agreement and addendum with Yeda Research and Development Company Ltd. (“Yeda”), according to which Inc was granted an exclusive license to intellectual property that can be used for research, development, marketing and manufacturing of products in the field of TMS treatment and may have the right to grant sublicenses subject to conditions specified in the agreement in consideration of royalty payment as follows:</w:t>
      </w:r>
    </w:p>
    <w:p>
      <w:pPr>
        <w:spacing w:after="0" w:line="171" w:lineRule="exact"/>
        <w:rPr>
          <w:rFonts w:ascii="Arial" w:cs="Arial" w:eastAsia="Arial" w:hAnsi="Arial"/>
          <w:sz w:val="17"/>
          <w:szCs w:val="17"/>
          <w:color w:val="auto"/>
        </w:rPr>
      </w:pPr>
    </w:p>
    <w:p>
      <w:pPr>
        <w:ind w:left="1960" w:hanging="656"/>
        <w:spacing w:after="0"/>
        <w:tabs>
          <w:tab w:leader="none" w:pos="196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1% of net sales systems based upon certain patents (which include technology licensed from PHS);</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3% for the first $10,000 of net sales, and 2% for net sales over $10,000, for all other Deep TMS products solely based on certain patents licensed exclusively from Yeda provided however in the event that the products are sold to a sublicensee and are thereafter sold by such sublicensee, the royalties paid to Yeda will be based on the higher of the net sales by the licensee or the net sales of the sale by the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CONTINGENT LIABILITIES, COMMITMENTS AND CHARGES (Continued)</w:t>
      </w:r>
    </w:p>
    <w:p>
      <w:pPr>
        <w:spacing w:after="0" w:line="229" w:lineRule="exact"/>
        <w:rPr>
          <w:sz w:val="20"/>
          <w:szCs w:val="20"/>
          <w:color w:val="auto"/>
        </w:rPr>
      </w:pPr>
    </w:p>
    <w:p>
      <w:pPr>
        <w:ind w:left="1960" w:hanging="656"/>
        <w:spacing w:after="0" w:line="277" w:lineRule="auto"/>
        <w:tabs>
          <w:tab w:leader="none" w:pos="1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4%-8% of the net cash proceeds that the Company receives in respect of granting sublicenses or options for sublicenses dependent on the patents licensed.</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The balance of provision for royalties as of December 31, 2019 and 2020 is $ 124 and $ 226, respectively.</w:t>
      </w:r>
    </w:p>
    <w:p>
      <w:pPr>
        <w:spacing w:after="0" w:line="225" w:lineRule="exact"/>
        <w:rPr>
          <w:rFonts w:ascii="Arial" w:cs="Arial" w:eastAsia="Arial" w:hAnsi="Arial"/>
          <w:sz w:val="18"/>
          <w:szCs w:val="18"/>
          <w:color w:val="auto"/>
        </w:rPr>
      </w:pPr>
    </w:p>
    <w:p>
      <w:pPr>
        <w:jc w:val="both"/>
        <w:ind w:left="1960"/>
        <w:spacing w:after="0" w:line="263" w:lineRule="auto"/>
        <w:rPr>
          <w:rFonts w:ascii="Arial" w:cs="Arial" w:eastAsia="Arial" w:hAnsi="Arial"/>
          <w:sz w:val="18"/>
          <w:szCs w:val="18"/>
          <w:color w:val="auto"/>
        </w:rPr>
      </w:pPr>
      <w:r>
        <w:rPr>
          <w:rFonts w:ascii="Arial" w:cs="Arial" w:eastAsia="Arial" w:hAnsi="Arial"/>
          <w:sz w:val="18"/>
          <w:szCs w:val="18"/>
          <w:color w:val="auto"/>
        </w:rPr>
        <w:t>Royalties are payable at the later of 15 years after the first commercial sale or the patent life (20 years through October 2021). The agreement expires at the later of: the expiration of the last patent, 15 years after Inc starts to sell products integrating the patent and after a period of 20 years during which no sales are made.</w:t>
      </w:r>
    </w:p>
    <w:p>
      <w:pPr>
        <w:spacing w:after="0" w:line="183" w:lineRule="exact"/>
        <w:rPr>
          <w:rFonts w:ascii="Arial" w:cs="Arial" w:eastAsia="Arial" w:hAnsi="Arial"/>
          <w:sz w:val="18"/>
          <w:szCs w:val="18"/>
          <w:color w:val="auto"/>
        </w:rPr>
      </w:pPr>
    </w:p>
    <w:p>
      <w:pPr>
        <w:ind w:left="1960"/>
        <w:spacing w:after="0" w:line="342" w:lineRule="auto"/>
        <w:rPr>
          <w:rFonts w:ascii="Arial" w:cs="Arial" w:eastAsia="Arial" w:hAnsi="Arial"/>
          <w:sz w:val="18"/>
          <w:szCs w:val="18"/>
          <w:color w:val="auto"/>
        </w:rPr>
      </w:pPr>
      <w:r>
        <w:rPr>
          <w:rFonts w:ascii="Arial" w:cs="Arial" w:eastAsia="Arial" w:hAnsi="Arial"/>
          <w:sz w:val="16"/>
          <w:szCs w:val="16"/>
          <w:color w:val="auto"/>
        </w:rPr>
        <w:t>The license agreement with Yeda may be subject to modifications in the event that the license agreement with PHS is modified (see 1, above) and may be cancelled based on various conditions, including the cancellation of the PHS agreement.</w:t>
      </w:r>
    </w:p>
    <w:p>
      <w:pPr>
        <w:spacing w:after="0" w:line="123" w:lineRule="exact"/>
        <w:rPr>
          <w:rFonts w:ascii="Arial" w:cs="Arial" w:eastAsia="Arial" w:hAnsi="Arial"/>
          <w:sz w:val="18"/>
          <w:szCs w:val="18"/>
          <w:color w:val="auto"/>
        </w:rPr>
      </w:pPr>
    </w:p>
    <w:p>
      <w:pPr>
        <w:jc w:val="both"/>
        <w:ind w:left="1960"/>
        <w:spacing w:after="0" w:line="269" w:lineRule="auto"/>
        <w:rPr>
          <w:rFonts w:ascii="Arial" w:cs="Arial" w:eastAsia="Arial" w:hAnsi="Arial"/>
          <w:sz w:val="18"/>
          <w:szCs w:val="18"/>
          <w:color w:val="auto"/>
        </w:rPr>
      </w:pPr>
      <w:r>
        <w:rPr>
          <w:rFonts w:ascii="Arial" w:cs="Arial" w:eastAsia="Arial" w:hAnsi="Arial"/>
          <w:sz w:val="17"/>
          <w:szCs w:val="17"/>
          <w:color w:val="auto"/>
        </w:rPr>
        <w:t>On February 22, 2018, Inc and Yeda signed an additional addendum to the agreement (“the fifth addendum”), according to which Inc received the right to examine an additional invention based upon the patent issued in connection with research in the field of rotational electrical fields owned by Yeda. Under the fifth addendum, the Company has the right to include the aforementioned invention and the intellectual property accompanying it under the Yeda license agreement. While initially valid up to the earlier of December 31, 2018 or 30 days after completion of all the milestones agreed between the parties, in order to provide more time for the defined milestones, the parties extended this date until December 31, 2019. In respect of the performance of the milestones under the fifth addendum, in December 2017, the Company received the approval of the MAGNET committee of the IIA (“Magneton”) for a development plan to be performed jointly with Yeda. The Company’s approved budget for the development plan is NIS 1.1 million, of which 66% (approximately NIS 0.7 million) which will be provided to the Company as a non-royalty bearing grant over the term of the plan.</w:t>
      </w:r>
    </w:p>
    <w:p>
      <w:pPr>
        <w:spacing w:after="0" w:line="185" w:lineRule="exact"/>
        <w:rPr>
          <w:rFonts w:ascii="Arial" w:cs="Arial" w:eastAsia="Arial" w:hAnsi="Arial"/>
          <w:sz w:val="18"/>
          <w:szCs w:val="18"/>
          <w:color w:val="auto"/>
        </w:rPr>
      </w:pPr>
    </w:p>
    <w:p>
      <w:pPr>
        <w:jc w:val="both"/>
        <w:ind w:left="1960"/>
        <w:spacing w:after="0" w:line="296" w:lineRule="auto"/>
        <w:rPr>
          <w:rFonts w:ascii="Arial" w:cs="Arial" w:eastAsia="Arial" w:hAnsi="Arial"/>
          <w:sz w:val="18"/>
          <w:szCs w:val="18"/>
          <w:color w:val="auto"/>
        </w:rPr>
      </w:pPr>
      <w:r>
        <w:rPr>
          <w:rFonts w:ascii="Arial" w:cs="Arial" w:eastAsia="Arial" w:hAnsi="Arial"/>
          <w:sz w:val="16"/>
          <w:szCs w:val="16"/>
          <w:color w:val="auto"/>
        </w:rPr>
        <w:t>In January 2020, the Company exercised the right granted to it under the fifth addendum, and accordingly royalties on net sales of products which are based on the use of the invention and know-how subject to the fifth addendum will be paid to Yeda at increased rates of 1.6%-2% in addition to the royalties described above and, in certain cases, at a flat rate of 2%. In respect of products under the fifth addendum that are not based on patents or research results for which the license was granted according to the original agreement (excluding the fifth addendum), royalties on net sales will be at the fixed rate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w:t>
      </w:r>
    </w:p>
    <w:p>
      <w:pPr>
        <w:spacing w:after="0" w:line="229"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Composition of share capital: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b w:val="1"/>
                <w:bCs w:val="1"/>
                <w:color w:val="auto"/>
              </w:rPr>
              <w:t>December 31, 2020</w:t>
            </w:r>
          </w:p>
        </w:tc>
        <w:tc>
          <w:tcPr>
            <w:tcW w:w="32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Issued and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Issued and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7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Authorized</w:t>
            </w: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7"/>
              </w:rPr>
              <w:t>outstanding</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3"/>
              </w:rPr>
              <w:t>Authorized</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Number of shares</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Ordinary shares of NIS 0.04 par value each</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25,000,000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22,250,534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22,236,368</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color w:val="auto"/>
              </w:rPr>
              <w:t>b.</w:t>
            </w:r>
          </w:p>
        </w:tc>
        <w:tc>
          <w:tcPr>
            <w:tcW w:w="4220" w:type="dxa"/>
            <w:vAlign w:val="bottom"/>
            <w:vMerge w:val="restart"/>
          </w:tcPr>
          <w:p>
            <w:pPr>
              <w:ind w:left="260"/>
              <w:spacing w:after="0"/>
              <w:rPr>
                <w:sz w:val="20"/>
                <w:szCs w:val="20"/>
                <w:color w:val="auto"/>
              </w:rPr>
            </w:pPr>
            <w:r>
              <w:rPr>
                <w:rFonts w:ascii="Arial" w:cs="Arial" w:eastAsia="Arial" w:hAnsi="Arial"/>
                <w:sz w:val="18"/>
                <w:szCs w:val="18"/>
                <w:color w:val="auto"/>
              </w:rPr>
              <w:t>Movement in share capital:</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42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Issued and outstanding capital:</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NIS par</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22,236,368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233,167</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 of share options</w:t>
            </w:r>
          </w:p>
        </w:tc>
        <w:tc>
          <w:tcPr>
            <w:tcW w:w="1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December 31, 2020</w:t>
            </w:r>
          </w:p>
        </w:tc>
        <w:tc>
          <w:tcPr>
            <w:tcW w:w="1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22,250,534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233,331</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22,236,368</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233,167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Rights attached to shares:</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Ordinary shares confer their holders rights to receive dividends in cash and in Company’s shares, right to nominate the Company’s directors and rights to participate in distribution of dividends upon liquidation in proportion to their holdings. Also, Ordinary shareholders have one vote at the shareholders’ meeting such that each share confers one vote to its holder.</w:t>
      </w:r>
    </w:p>
    <w:p>
      <w:pPr>
        <w:spacing w:after="0" w:line="183" w:lineRule="exact"/>
        <w:rPr>
          <w:rFonts w:ascii="Arial" w:cs="Arial" w:eastAsia="Arial" w:hAnsi="Arial"/>
          <w:sz w:val="18"/>
          <w:szCs w:val="18"/>
          <w:color w:val="auto"/>
        </w:rPr>
      </w:pPr>
    </w:p>
    <w:p>
      <w:pPr>
        <w:ind w:left="660" w:right="300" w:hanging="652"/>
        <w:spacing w:after="0" w:line="311" w:lineRule="auto"/>
        <w:tabs>
          <w:tab w:leader="none" w:pos="6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 April 2019, the Company closed its initial public offering in Nasdaq of 2,500,000 American Depositary Shares (“ADSs”), each representing two ordinary shares of Brainsway, at a public offering price of $11.00 per ADS. The gross proceeds to the Company from the offering, before deducting the underwriting discounts and commissions and estimated offering expenses, are approximately $27.5 million.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 (Continued)</w:t>
      </w:r>
    </w:p>
    <w:p>
      <w:pPr>
        <w:spacing w:after="0" w:line="229"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Capital management in the Company:</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Company’s capital management objectives are to preserve the Group’s ability to ensure business continuity thereby creating a return for the shareholders, investors and other interested parties.</w:t>
      </w:r>
    </w:p>
    <w:p>
      <w:pPr>
        <w:spacing w:after="0" w:line="170" w:lineRule="exact"/>
        <w:rPr>
          <w:rFonts w:ascii="Arial" w:cs="Arial" w:eastAsia="Arial" w:hAnsi="Arial"/>
          <w:sz w:val="18"/>
          <w:szCs w:val="18"/>
          <w:color w:val="auto"/>
        </w:rPr>
      </w:pPr>
    </w:p>
    <w:p>
      <w:pPr>
        <w:ind w:left="660" w:right="2080"/>
        <w:spacing w:after="0" w:line="498" w:lineRule="auto"/>
        <w:rPr>
          <w:rFonts w:ascii="Arial" w:cs="Arial" w:eastAsia="Arial" w:hAnsi="Arial"/>
          <w:sz w:val="18"/>
          <w:szCs w:val="18"/>
          <w:color w:val="auto"/>
        </w:rPr>
      </w:pPr>
      <w:r>
        <w:rPr>
          <w:rFonts w:ascii="Arial" w:cs="Arial" w:eastAsia="Arial" w:hAnsi="Arial"/>
          <w:sz w:val="18"/>
          <w:szCs w:val="18"/>
          <w:color w:val="auto"/>
        </w:rPr>
        <w:t>The Company is not under any minimal equity requirements nor is it required to attain a certain level of capital return. See Note 22, events after the reporting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PAYMENT</w:t>
      </w:r>
    </w:p>
    <w:p>
      <w:pPr>
        <w:spacing w:after="0" w:line="229"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expense recognized in the financial statements for services received is shown in the following table:</w:t>
      </w:r>
    </w:p>
    <w:p>
      <w:pPr>
        <w:spacing w:after="0" w:line="221"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Equity-settled share-based payment plans to employees, directors and consultants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share-based payment transactions that the Company granted to its employees, directors and consultants are shown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outstanding</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as of</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December</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as of</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price</w:t>
            </w: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Exercise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2220" w:type="dxa"/>
            <w:vAlign w:val="bottom"/>
            <w:gridSpan w:val="2"/>
          </w:tcPr>
          <w:p>
            <w:pPr>
              <w:ind w:left="620"/>
              <w:spacing w:after="0"/>
              <w:rPr>
                <w:sz w:val="20"/>
                <w:szCs w:val="20"/>
                <w:color w:val="auto"/>
              </w:rPr>
            </w:pPr>
            <w:r>
              <w:rPr>
                <w:rFonts w:ascii="Arial" w:cs="Arial" w:eastAsia="Arial" w:hAnsi="Arial"/>
                <w:sz w:val="18"/>
                <w:szCs w:val="18"/>
                <w:b w:val="1"/>
                <w:bCs w:val="1"/>
                <w:color w:val="auto"/>
              </w:rPr>
              <w:t>Exercisable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Issuance Date</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Grantee</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NIS</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price $*)</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2220" w:type="dxa"/>
            <w:vAlign w:val="bottom"/>
            <w:gridSpan w:val="2"/>
          </w:tcPr>
          <w:p>
            <w:pPr>
              <w:ind w:left="720"/>
              <w:spacing w:after="0"/>
              <w:rPr>
                <w:sz w:val="20"/>
                <w:szCs w:val="20"/>
                <w:color w:val="auto"/>
              </w:rPr>
            </w:pPr>
            <w:r>
              <w:rPr>
                <w:rFonts w:ascii="Arial" w:cs="Arial" w:eastAsia="Arial" w:hAnsi="Arial"/>
                <w:sz w:val="18"/>
                <w:szCs w:val="18"/>
                <w:b w:val="1"/>
                <w:bCs w:val="1"/>
                <w:color w:val="auto"/>
              </w:rPr>
              <w:t>Through</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Value $</w:t>
            </w:r>
          </w:p>
        </w:tc>
      </w:tr>
      <w:tr>
        <w:trPr>
          <w:trHeight w:val="195"/>
        </w:trPr>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8"/>
              </w:rPr>
              <w:t>Employees and</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30"/>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8, 2015</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292,250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292,250</w:t>
            </w: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2025</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02"/>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w w:val="96"/>
              </w:rPr>
              <w:t>Employees and</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December 8, 2015</w:t>
            </w:r>
          </w:p>
        </w:tc>
        <w:tc>
          <w:tcPr>
            <w:tcW w:w="122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270,000</w:t>
            </w: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270,000</w:t>
            </w:r>
          </w:p>
        </w:tc>
        <w:tc>
          <w:tcPr>
            <w:tcW w:w="12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December 8, 2025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02"/>
        </w:trPr>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and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2017</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566,262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566,262</w:t>
            </w: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2025</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color w:val="auto"/>
              </w:rPr>
              <w:t>December 3, 2017</w:t>
            </w:r>
          </w:p>
        </w:tc>
        <w:tc>
          <w:tcPr>
            <w:tcW w:w="1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9,167</w:t>
            </w:r>
          </w:p>
        </w:tc>
        <w:tc>
          <w:tcPr>
            <w:tcW w:w="1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December 3, 2027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November 12, 2018</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12, 2026</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02"/>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w w:val="96"/>
              </w:rPr>
              <w:t>Employees and</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w w:val="96"/>
              </w:rPr>
              <w:t>November 12, 2018</w:t>
            </w:r>
          </w:p>
        </w:tc>
        <w:tc>
          <w:tcPr>
            <w:tcW w:w="122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672,600</w:t>
            </w: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23.39 - 24.22</w:t>
            </w: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6.36 - 6.59</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spacing w:after="0"/>
              <w:rPr>
                <w:sz w:val="20"/>
                <w:szCs w:val="20"/>
                <w:color w:val="auto"/>
              </w:rPr>
            </w:pPr>
            <w:r>
              <w:rPr>
                <w:rFonts w:ascii="Arial" w:cs="Arial" w:eastAsia="Arial" w:hAnsi="Arial"/>
                <w:sz w:val="18"/>
                <w:szCs w:val="18"/>
                <w:color w:val="auto"/>
              </w:rPr>
              <w:t>November 12, 2026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2,299</w:t>
            </w:r>
          </w:p>
        </w:tc>
      </w:tr>
      <w:tr>
        <w:trPr>
          <w:trHeight w:val="202"/>
        </w:trPr>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and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2019</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2027</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13,2020</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 2028</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11, 2020</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11, 2028</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02"/>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VP Global</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540" w:type="dxa"/>
            <w:vAlign w:val="bottom"/>
            <w:gridSpan w:val="3"/>
          </w:tcPr>
          <w:p>
            <w:pPr>
              <w:spacing w:after="0"/>
              <w:rPr>
                <w:sz w:val="20"/>
                <w:szCs w:val="20"/>
                <w:color w:val="auto"/>
              </w:rPr>
            </w:pPr>
            <w:r>
              <w:rPr>
                <w:rFonts w:ascii="Arial" w:cs="Arial" w:eastAsia="Arial" w:hAnsi="Arial"/>
                <w:sz w:val="18"/>
                <w:szCs w:val="18"/>
                <w:color w:val="auto"/>
              </w:rPr>
              <w:t>June 1, 2020</w:t>
            </w:r>
          </w:p>
        </w:tc>
        <w:tc>
          <w:tcPr>
            <w:tcW w:w="122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02"/>
        </w:trPr>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 of</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of</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November 19, 2020</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Analytics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2030</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4"/>
          </w:tcPr>
          <w:p>
            <w:pPr>
              <w:ind w:left="260"/>
              <w:spacing w:after="0"/>
              <w:rPr>
                <w:sz w:val="20"/>
                <w:szCs w:val="20"/>
                <w:color w:val="auto"/>
              </w:rPr>
            </w:pPr>
            <w:r>
              <w:rPr>
                <w:rFonts w:ascii="Arial" w:cs="Arial" w:eastAsia="Arial" w:hAnsi="Arial"/>
                <w:sz w:val="18"/>
                <w:szCs w:val="18"/>
                <w:color w:val="auto"/>
              </w:rPr>
              <w:t>As of grant date.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fair value of the Company’s options granted for the years ended December 31, 2020, 2019 and 2018 was estimated using the Binomial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2018</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volatility (%)</w:t>
            </w:r>
          </w:p>
        </w:tc>
        <w:tc>
          <w:tcPr>
            <w:tcW w:w="540" w:type="dxa"/>
            <w:vAlign w:val="bottom"/>
          </w:tcPr>
          <w:p>
            <w:pPr>
              <w:jc w:val="right"/>
              <w:spacing w:after="0"/>
              <w:rPr>
                <w:sz w:val="20"/>
                <w:szCs w:val="20"/>
                <w:color w:val="auto"/>
              </w:rPr>
            </w:pPr>
            <w:r>
              <w:rPr>
                <w:rFonts w:ascii="Arial" w:cs="Arial" w:eastAsia="Arial" w:hAnsi="Arial"/>
                <w:sz w:val="18"/>
                <w:szCs w:val="18"/>
                <w:color w:val="auto"/>
              </w:rPr>
              <w:t>48.00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76.78</w:t>
            </w:r>
          </w:p>
        </w:tc>
        <w:tc>
          <w:tcPr>
            <w:tcW w:w="120" w:type="dxa"/>
            <w:vAlign w:val="bottom"/>
          </w:tcPr>
          <w:p>
            <w:pPr>
              <w:spacing w:after="0"/>
              <w:rPr>
                <w:sz w:val="18"/>
                <w:szCs w:val="18"/>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40.06   -   48.09   40.51</w:t>
            </w:r>
          </w:p>
        </w:tc>
        <w:tc>
          <w:tcPr>
            <w:tcW w:w="1020" w:type="dxa"/>
            <w:vAlign w:val="bottom"/>
          </w:tcPr>
          <w:p>
            <w:pPr>
              <w:jc w:val="right"/>
              <w:spacing w:after="0"/>
              <w:rPr>
                <w:sz w:val="20"/>
                <w:szCs w:val="20"/>
                <w:color w:val="auto"/>
              </w:rPr>
            </w:pPr>
            <w:r>
              <w:rPr>
                <w:rFonts w:ascii="Arial" w:cs="Arial" w:eastAsia="Arial" w:hAnsi="Arial"/>
                <w:sz w:val="18"/>
                <w:szCs w:val="18"/>
                <w:color w:val="auto"/>
              </w:rPr>
              <w:t>-   48.25</w:t>
            </w:r>
          </w:p>
        </w:tc>
      </w:tr>
      <w:tr>
        <w:trPr>
          <w:trHeight w:val="63"/>
        </w:trPr>
        <w:tc>
          <w:tcPr>
            <w:tcW w:w="63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688" w:right="339" w:bottom="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0.62</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exercise factor</w:t>
            </w:r>
          </w:p>
        </w:tc>
        <w:tc>
          <w:tcPr>
            <w:tcW w:w="25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5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Post-vesting forfeiture rate (%)</w:t>
            </w:r>
          </w:p>
        </w:tc>
        <w:tc>
          <w:tcPr>
            <w:tcW w:w="25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PAYMENT (Continued)</w:t>
      </w:r>
    </w:p>
    <w:p>
      <w:pPr>
        <w:spacing w:after="0" w:line="229"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Movement during the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1280" w:type="dxa"/>
            <w:vAlign w:val="bottom"/>
            <w:tcBorders>
              <w:bottom w:val="single" w:sz="8" w:color="auto"/>
            </w:tcBorders>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62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exercise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exercise</w:t>
            </w:r>
          </w:p>
        </w:tc>
      </w:tr>
      <w:tr>
        <w:trPr>
          <w:trHeight w:val="234"/>
        </w:trPr>
        <w:tc>
          <w:tcPr>
            <w:tcW w:w="462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price(*)</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price(*)</w:t>
            </w:r>
          </w:p>
        </w:tc>
      </w:tr>
      <w:tr>
        <w:trPr>
          <w:trHeight w:val="209"/>
        </w:trPr>
        <w:tc>
          <w:tcPr>
            <w:tcW w:w="46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79"/>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2,213,812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2,425,192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285,008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(535,667)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(59,765)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(193,916)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09"/>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1,522,975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2,213,812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839,418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1,362,879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exercise price of all options denominated in NIS and was translated to USD in the table above using the exchange rate as of December 31, 2020 and 2019, respectively.</w:t>
      </w:r>
    </w:p>
    <w:p>
      <w:pPr>
        <w:spacing w:after="0" w:line="170" w:lineRule="exact"/>
        <w:rPr>
          <w:rFonts w:ascii="Arial" w:cs="Arial" w:eastAsia="Arial" w:hAnsi="Arial"/>
          <w:sz w:val="18"/>
          <w:szCs w:val="18"/>
          <w:color w:val="auto"/>
        </w:rPr>
      </w:pPr>
    </w:p>
    <w:p>
      <w:pPr>
        <w:ind w:left="660" w:right="420"/>
        <w:spacing w:after="0" w:line="530" w:lineRule="auto"/>
        <w:rPr>
          <w:rFonts w:ascii="Arial" w:cs="Arial" w:eastAsia="Arial" w:hAnsi="Arial"/>
          <w:sz w:val="18"/>
          <w:szCs w:val="18"/>
          <w:color w:val="auto"/>
        </w:rPr>
      </w:pPr>
      <w:r>
        <w:rPr>
          <w:rFonts w:ascii="Arial" w:cs="Arial" w:eastAsia="Arial" w:hAnsi="Arial"/>
          <w:sz w:val="17"/>
          <w:szCs w:val="17"/>
          <w:color w:val="auto"/>
        </w:rPr>
        <w:t>The weighted average remaining contractual life for the options outstanding as of December 31, 2020 and 2019 was approximately six years. The range of exercise prices for options outstanding as of December 31, 2020 and 2019 was USD 4.0-18.5.</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January 2020, the Company granted the Company’s Chief Executive Officer (“CEO”) upon his employment, 240,000 restricted stock units (“RSUs”) of which 60,000 RSUs were granted through January 26, 2021, and 180,000 RSUs have been committed to be provided in three future grants of 60,000 RSUs upon each anniversary of the employment start date of the CEO with the Company. The terms of the 180,000 committed CEO RSU’s were amended subsequent to balance sheet date - See Note 22(b).</w:t>
      </w:r>
    </w:p>
    <w:p>
      <w:pPr>
        <w:spacing w:after="0" w:line="187"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options were exercised by way of a cashless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w:t>
      </w:r>
    </w:p>
    <w:p>
      <w:pPr>
        <w:spacing w:after="0" w:line="229"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Additional information on revenues: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Revenues reported in the financial statements for each group of similar products and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lease</w:t>
            </w: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13,628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9,569</w:t>
            </w:r>
          </w:p>
        </w:tc>
      </w:tr>
      <w:tr>
        <w:trPr>
          <w:trHeight w:val="230"/>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Revenues from sale</w:t>
            </w:r>
          </w:p>
        </w:tc>
        <w:tc>
          <w:tcPr>
            <w:tcW w:w="28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6,828</w:t>
            </w:r>
          </w:p>
        </w:tc>
      </w:tr>
      <w:tr>
        <w:trPr>
          <w:trHeight w:val="209"/>
        </w:trPr>
        <w:tc>
          <w:tcPr>
            <w:tcW w:w="3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3480" w:type="dxa"/>
            <w:vAlign w:val="bottom"/>
          </w:tcPr>
          <w:p>
            <w:pPr>
              <w:spacing w:after="0"/>
              <w:rPr>
                <w:sz w:val="21"/>
                <w:szCs w:val="21"/>
                <w:color w:val="auto"/>
              </w:rPr>
            </w:pPr>
          </w:p>
        </w:tc>
        <w:tc>
          <w:tcPr>
            <w:tcW w:w="380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22,057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23,101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16,397</w:t>
            </w:r>
          </w:p>
        </w:tc>
      </w:tr>
      <w:tr>
        <w:trPr>
          <w:trHeight w:val="20"/>
        </w:trPr>
        <w:tc>
          <w:tcPr>
            <w:tcW w:w="3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3480" w:type="dxa"/>
            <w:vAlign w:val="bottom"/>
          </w:tcPr>
          <w:p>
            <w:pPr>
              <w:spacing w:after="0"/>
              <w:rPr>
                <w:sz w:val="24"/>
                <w:szCs w:val="24"/>
                <w:color w:val="auto"/>
              </w:rPr>
            </w:pPr>
          </w:p>
        </w:tc>
        <w:tc>
          <w:tcPr>
            <w:tcW w:w="3800" w:type="dxa"/>
            <w:vAlign w:val="bottom"/>
            <w:gridSpan w:val="2"/>
          </w:tcPr>
          <w:p>
            <w:pPr>
              <w:jc w:val="right"/>
              <w:ind w:right="1398"/>
              <w:spacing w:after="0"/>
              <w:rPr>
                <w:sz w:val="20"/>
                <w:szCs w:val="20"/>
                <w:color w:val="auto"/>
              </w:rPr>
            </w:pPr>
            <w:r>
              <w:rPr>
                <w:rFonts w:ascii="Arial" w:cs="Arial" w:eastAsia="Arial" w:hAnsi="Arial"/>
                <w:sz w:val="18"/>
                <w:szCs w:val="18"/>
                <w:color w:val="auto"/>
              </w:rPr>
              <w:t>F-42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348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8"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Revenues reported in the financial statements derived from the Company’s country of domicile (Israel) and foreign countries based on the location of the customers,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15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09"/>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19,330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14,478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1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9"/>
        </w:trPr>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1580" w:type="dxa"/>
            <w:vAlign w:val="bottom"/>
          </w:tcPr>
          <w:p>
            <w:pPr>
              <w:spacing w:after="0"/>
              <w:rPr>
                <w:sz w:val="21"/>
                <w:szCs w:val="21"/>
                <w:color w:val="auto"/>
              </w:rPr>
            </w:pPr>
          </w:p>
        </w:tc>
        <w:tc>
          <w:tcPr>
            <w:tcW w:w="13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22,057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23,101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16,397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0"/>
        </w:trPr>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total amounts of future minimum lease payments to be received under non-cancellable operating leases as of December 31, 2020 and 2019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87"/>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Later than one year and not later than five years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Later than five years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Total future minimum lease payments under non-cancellable operating leases</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25,591</w:t>
            </w:r>
          </w:p>
        </w:tc>
        <w:tc>
          <w:tcPr>
            <w:tcW w:w="640" w:type="dxa"/>
            <w:vAlign w:val="bottom"/>
            <w:gridSpan w:val="3"/>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21,821</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w:t>
            </w:r>
          </w:p>
        </w:tc>
        <w:tc>
          <w:tcPr>
            <w:tcW w:w="55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Cost of revenues:</w:t>
            </w: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revenues—lease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3,201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1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revenues—sales</w:t>
            </w:r>
          </w:p>
        </w:tc>
        <w:tc>
          <w:tcPr>
            <w:tcW w:w="3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1,857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40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5,058</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5,129</w:t>
            </w:r>
          </w:p>
        </w:tc>
        <w:tc>
          <w:tcPr>
            <w:tcW w:w="640" w:type="dxa"/>
            <w:vAlign w:val="bottom"/>
            <w:gridSpan w:val="3"/>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9"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Research and development expenses,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Subcontractors</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2,241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Laboratory materials</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Patents</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Travel</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658</w:t>
            </w:r>
          </w:p>
        </w:tc>
      </w:tr>
      <w:tr>
        <w:trPr>
          <w:trHeight w:val="22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Less—Government grants</w:t>
            </w:r>
          </w:p>
        </w:tc>
        <w:tc>
          <w:tcPr>
            <w:tcW w:w="2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9"/>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1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5,823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Selling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Agent commissions</w:t>
            </w: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Travel</w:t>
            </w:r>
          </w:p>
        </w:tc>
        <w:tc>
          <w:tcPr>
            <w:tcW w:w="3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9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jc w:val="right"/>
              <w:ind w:right="81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3"/>
              </w:rPr>
              <w:t>11,283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13,269</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w:t>
            </w:r>
          </w:p>
        </w:tc>
        <w:tc>
          <w:tcPr>
            <w:tcW w:w="38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386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benefits</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Professional fees and office expenses</w:t>
            </w: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Travel</w:t>
            </w:r>
          </w:p>
        </w:tc>
        <w:tc>
          <w:tcPr>
            <w:tcW w:w="3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debts and allowance for doubtful accounts</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Share-based payment</w:t>
            </w:r>
          </w:p>
        </w:tc>
        <w:tc>
          <w:tcPr>
            <w:tcW w:w="19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9"/>
        </w:trPr>
        <w:tc>
          <w:tcPr>
            <w:tcW w:w="5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880" w:type="dxa"/>
            <w:vAlign w:val="bottom"/>
            <w:gridSpan w:val="2"/>
          </w:tcPr>
          <w:p>
            <w:pPr>
              <w:jc w:val="right"/>
              <w:ind w:right="81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5,303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80" w:type="dxa"/>
            <w:vAlign w:val="bottom"/>
            <w:gridSpan w:val="2"/>
          </w:tcPr>
          <w:p>
            <w:pPr>
              <w:jc w:val="right"/>
              <w:ind w:right="1418"/>
              <w:spacing w:after="0"/>
              <w:rPr>
                <w:sz w:val="20"/>
                <w:szCs w:val="20"/>
                <w:color w:val="auto"/>
              </w:rPr>
            </w:pPr>
            <w:r>
              <w:rPr>
                <w:rFonts w:ascii="Arial" w:cs="Arial" w:eastAsia="Arial" w:hAnsi="Arial"/>
                <w:sz w:val="18"/>
                <w:szCs w:val="18"/>
                <w:color w:val="auto"/>
              </w:rPr>
              <w:t>F-44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0" w:type="dxa"/>
            <w:vAlign w:val="bottom"/>
            <w:shd w:val="clear" w:color="auto" w:fill="000000"/>
          </w:tcPr>
          <w:p>
            <w:pPr>
              <w:spacing w:after="0"/>
              <w:rPr>
                <w:sz w:val="5"/>
                <w:szCs w:val="5"/>
                <w:color w:val="auto"/>
              </w:rPr>
            </w:pPr>
          </w:p>
        </w:tc>
        <w:tc>
          <w:tcPr>
            <w:tcW w:w="386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ADDITIONAL INFORMATION TO THE STATEMENTS OF COMPREHENSIVE LOSS (Continued)</w:t>
      </w:r>
    </w:p>
    <w:p>
      <w:pPr>
        <w:spacing w:after="0" w:line="229"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Finance income and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Interest-income revaluation of bank deposits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0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Revaluation of warrants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Exchange rate differences, net</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448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6"/>
              </w:rPr>
              <w:t>549</w:t>
            </w:r>
          </w:p>
        </w:tc>
        <w:tc>
          <w:tcPr>
            <w:tcW w:w="10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7"/>
        </w:trPr>
        <w:tc>
          <w:tcPr>
            <w:tcW w:w="4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Finance expense: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Liability in respect of research and development grants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762</w:t>
            </w:r>
          </w:p>
        </w:tc>
        <w:tc>
          <w:tcPr>
            <w:tcW w:w="100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w w:val="91"/>
              </w:rPr>
              <w:t>Interest expense and amortization of deferred costs- loan from bank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commissions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Revaluation of warrants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differences,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expense of lease liability</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6"/>
              </w:rPr>
              <w:t>868</w:t>
            </w:r>
          </w:p>
        </w:tc>
        <w:tc>
          <w:tcPr>
            <w:tcW w:w="10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1,667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20: NET LOSS PER SHARE</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080" w:type="dxa"/>
            <w:vAlign w:val="bottom"/>
            <w:gridSpan w:val="9"/>
          </w:tcPr>
          <w:p>
            <w:pPr>
              <w:ind w:left="260"/>
              <w:spacing w:after="0"/>
              <w:rPr>
                <w:sz w:val="20"/>
                <w:szCs w:val="20"/>
                <w:color w:val="auto"/>
              </w:rPr>
            </w:pPr>
            <w:r>
              <w:rPr>
                <w:rFonts w:ascii="Arial" w:cs="Arial" w:eastAsia="Arial" w:hAnsi="Arial"/>
                <w:sz w:val="18"/>
                <w:szCs w:val="18"/>
                <w:color w:val="auto"/>
                <w:w w:val="99"/>
              </w:rPr>
              <w:t>Number of shares and loss used in the computation of net loss per share: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2020</w:t>
            </w: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3"/>
              </w:rPr>
              <w:t>attributable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attributable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attributable 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equity holders</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equity holders</w:t>
            </w: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equity holders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of the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of the</w:t>
            </w: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of the</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Company</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Company</w:t>
            </w: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shares*)</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Used in the computation of basic and diluted net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22,453,025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20,506,202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16,640,446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40" w:type="dxa"/>
            <w:vAlign w:val="bottom"/>
            <w:gridSpan w:val="24"/>
          </w:tcPr>
          <w:p>
            <w:pPr>
              <w:ind w:left="260"/>
              <w:spacing w:after="0"/>
              <w:rPr>
                <w:sz w:val="20"/>
                <w:szCs w:val="20"/>
                <w:color w:val="auto"/>
              </w:rPr>
            </w:pPr>
            <w:r>
              <w:rPr>
                <w:rFonts w:ascii="Arial" w:cs="Arial" w:eastAsia="Arial" w:hAnsi="Arial"/>
                <w:sz w:val="18"/>
                <w:szCs w:val="18"/>
                <w:color w:val="auto"/>
                <w:w w:val="95"/>
              </w:rPr>
              <w:t>Computation of diluted loss per share did not include potential ordinary shares that would result from conversion of outstanding options and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580" w:type="dxa"/>
            <w:vAlign w:val="bottom"/>
            <w:gridSpan w:val="3"/>
          </w:tcPr>
          <w:p>
            <w:pPr>
              <w:ind w:left="260"/>
              <w:spacing w:after="0"/>
              <w:rPr>
                <w:sz w:val="20"/>
                <w:szCs w:val="20"/>
                <w:color w:val="auto"/>
              </w:rPr>
            </w:pPr>
            <w:r>
              <w:rPr>
                <w:rFonts w:ascii="Arial" w:cs="Arial" w:eastAsia="Arial" w:hAnsi="Arial"/>
                <w:sz w:val="18"/>
                <w:szCs w:val="18"/>
                <w:color w:val="auto"/>
                <w:w w:val="98"/>
              </w:rPr>
              <w:t>warrants, since their conversion has anti-dilutive effect.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w:t>
      </w:r>
    </w:p>
    <w:p>
      <w:pPr>
        <w:sectPr>
          <w:pgSz w:w="11900" w:h="16838" w:orient="portrait"/>
          <w:cols w:equalWidth="0" w:num="1">
            <w:col w:w="11240"/>
          </w:cols>
          <w:pgMar w:left="320" w:top="688" w:right="339" w:bottom="1440" w:gutter="0" w:footer="0" w:header="0"/>
        </w:sectPr>
      </w:pPr>
    </w:p>
    <w:p>
      <w:pPr>
        <w:spacing w:after="0" w:line="229" w:lineRule="exact"/>
        <w:rPr>
          <w:sz w:val="20"/>
          <w:szCs w:val="20"/>
          <w:color w:val="auto"/>
        </w:rPr>
      </w:pPr>
    </w:p>
    <w:p>
      <w:pPr>
        <w:ind w:left="660" w:right="3460" w:hanging="652"/>
        <w:spacing w:after="0" w:line="498"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Balances with interested and related parties: Composition: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Benefits to interested and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Key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interested and</w:t>
            </w:r>
          </w:p>
        </w:tc>
      </w:tr>
      <w:tr>
        <w:trPr>
          <w:trHeight w:val="216"/>
        </w:trPr>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management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related</w:t>
            </w:r>
          </w:p>
        </w:tc>
      </w:tr>
      <w:tr>
        <w:trPr>
          <w:trHeight w:val="234"/>
        </w:trPr>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personnel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parties</w:t>
            </w: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Key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interested and</w:t>
            </w:r>
          </w:p>
        </w:tc>
      </w:tr>
      <w:tr>
        <w:trPr>
          <w:trHeight w:val="216"/>
        </w:trPr>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management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related</w:t>
            </w:r>
          </w:p>
        </w:tc>
      </w:tr>
      <w:tr>
        <w:trPr>
          <w:trHeight w:val="234"/>
        </w:trPr>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personnel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parties</w:t>
            </w: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sectPr>
          <w:pgSz w:w="11900" w:h="16838" w:orient="portrait"/>
          <w:cols w:equalWidth="0" w:num="2">
            <w:col w:w="7280" w:space="720"/>
            <w:col w:w="324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7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to those employed by the Company or on its behalf</w:t>
            </w:r>
          </w:p>
        </w:tc>
        <w:tc>
          <w:tcPr>
            <w:tcW w:w="5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to those not employed by the Company or on its behalf</w:t>
            </w:r>
          </w:p>
        </w:tc>
        <w:tc>
          <w:tcPr>
            <w:tcW w:w="8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Number of individuals to whom the salary and benefits relate:</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8"/>
              </w:rPr>
              <w:t>Related and interested parties employed by the Company or on its behalf</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Directors not employed by the Company</w:t>
            </w:r>
          </w:p>
        </w:tc>
        <w:tc>
          <w:tcPr>
            <w:tcW w:w="5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0"/>
        </w:trPr>
        <w:tc>
          <w:tcPr>
            <w:tcW w:w="5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 (Continued)</w:t>
      </w:r>
    </w:p>
    <w:p>
      <w:pPr>
        <w:spacing w:after="0" w:line="229"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Key management personnel: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to those employed by the Company or on its behalf</w:t>
            </w:r>
          </w:p>
        </w:tc>
        <w:tc>
          <w:tcPr>
            <w:tcW w:w="7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Share-based payment to those not employed by the Company or on its behalf</w:t>
            </w:r>
          </w:p>
        </w:tc>
        <w:tc>
          <w:tcPr>
            <w:tcW w:w="7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w:t>
            </w:r>
          </w:p>
        </w:tc>
        <w:tc>
          <w:tcPr>
            <w:tcW w:w="56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Transactions with interested and related parties:</w:t>
            </w: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vMerge w:val="continue"/>
          </w:tcPr>
          <w:p>
            <w:pPr>
              <w:spacing w:after="0"/>
              <w:rPr>
                <w:sz w:val="24"/>
                <w:szCs w:val="24"/>
                <w:color w:val="auto"/>
              </w:rPr>
            </w:pPr>
          </w:p>
        </w:tc>
        <w:tc>
          <w:tcPr>
            <w:tcW w:w="5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Year ended December 31, 2020</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Key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interested and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management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related</w:t>
            </w:r>
          </w:p>
        </w:tc>
        <w:tc>
          <w:tcPr>
            <w:tcW w:w="0" w:type="dxa"/>
            <w:vAlign w:val="bottom"/>
          </w:tcPr>
          <w:p>
            <w:pPr>
              <w:spacing w:after="0"/>
              <w:rPr>
                <w:sz w:val="1"/>
                <w:szCs w:val="1"/>
                <w:color w:val="auto"/>
              </w:rPr>
            </w:pPr>
          </w:p>
        </w:tc>
      </w:tr>
      <w:tr>
        <w:trPr>
          <w:trHeight w:val="234"/>
        </w:trPr>
        <w:tc>
          <w:tcPr>
            <w:tcW w:w="320" w:type="dxa"/>
            <w:vAlign w:val="bottom"/>
            <w:tcBorders>
              <w:bottom w:val="single" w:sz="8" w:color="CCEEFF"/>
            </w:tcBorders>
          </w:tcPr>
          <w:p>
            <w:pPr>
              <w:spacing w:after="0"/>
              <w:rPr>
                <w:sz w:val="20"/>
                <w:szCs w:val="20"/>
                <w:color w:val="auto"/>
              </w:rPr>
            </w:pPr>
          </w:p>
        </w:tc>
        <w:tc>
          <w:tcPr>
            <w:tcW w:w="56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personnel*)</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parties</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shd w:val="clear" w:color="auto" w:fill="CCEEFF"/>
          </w:tcPr>
          <w:p>
            <w:pPr>
              <w:spacing w:after="0"/>
              <w:rPr>
                <w:sz w:val="21"/>
                <w:szCs w:val="21"/>
                <w:color w:val="auto"/>
              </w:rPr>
            </w:pPr>
          </w:p>
        </w:tc>
        <w:tc>
          <w:tcPr>
            <w:tcW w:w="5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color w:val="auto"/>
              </w:rPr>
              <w:t>Year ended December 31, 2019</w:t>
            </w: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Key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interested and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management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related</w:t>
            </w:r>
          </w:p>
        </w:tc>
        <w:tc>
          <w:tcPr>
            <w:tcW w:w="0" w:type="dxa"/>
            <w:vAlign w:val="bottom"/>
          </w:tcPr>
          <w:p>
            <w:pPr>
              <w:spacing w:after="0"/>
              <w:rPr>
                <w:sz w:val="1"/>
                <w:szCs w:val="1"/>
                <w:color w:val="auto"/>
              </w:rPr>
            </w:pPr>
          </w:p>
        </w:tc>
      </w:tr>
      <w:tr>
        <w:trPr>
          <w:trHeight w:val="234"/>
        </w:trPr>
        <w:tc>
          <w:tcPr>
            <w:tcW w:w="320" w:type="dxa"/>
            <w:vAlign w:val="bottom"/>
            <w:tcBorders>
              <w:bottom w:val="single" w:sz="8" w:color="CCEEFF"/>
            </w:tcBorders>
          </w:tcPr>
          <w:p>
            <w:pPr>
              <w:spacing w:after="0"/>
              <w:rPr>
                <w:sz w:val="20"/>
                <w:szCs w:val="20"/>
                <w:color w:val="auto"/>
              </w:rPr>
            </w:pPr>
          </w:p>
        </w:tc>
        <w:tc>
          <w:tcPr>
            <w:tcW w:w="56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personnel*)</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parties</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Year ended December 31, 2018</w:t>
            </w: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Key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interested and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management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related</w:t>
            </w:r>
          </w:p>
        </w:tc>
        <w:tc>
          <w:tcPr>
            <w:tcW w:w="0" w:type="dxa"/>
            <w:vAlign w:val="bottom"/>
          </w:tcPr>
          <w:p>
            <w:pPr>
              <w:spacing w:after="0"/>
              <w:rPr>
                <w:sz w:val="1"/>
                <w:szCs w:val="1"/>
                <w:color w:val="auto"/>
              </w:rPr>
            </w:pPr>
          </w:p>
        </w:tc>
      </w:tr>
      <w:tr>
        <w:trPr>
          <w:trHeight w:val="234"/>
        </w:trPr>
        <w:tc>
          <w:tcPr>
            <w:tcW w:w="320" w:type="dxa"/>
            <w:vAlign w:val="bottom"/>
            <w:tcBorders>
              <w:bottom w:val="single" w:sz="8" w:color="CCEEFF"/>
            </w:tcBorders>
          </w:tcPr>
          <w:p>
            <w:pPr>
              <w:spacing w:after="0"/>
              <w:rPr>
                <w:sz w:val="20"/>
                <w:szCs w:val="20"/>
                <w:color w:val="auto"/>
              </w:rPr>
            </w:pPr>
          </w:p>
        </w:tc>
        <w:tc>
          <w:tcPr>
            <w:tcW w:w="56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personnel*)</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parties</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2"/>
              </w:rPr>
              <w:t>Some of the key management personnel are interested parties by virtue of holdings.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20" w:hanging="658"/>
        <w:spacing w:after="0" w:line="259" w:lineRule="auto"/>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Mr. Yaakov Michlin commenced his role as the Company’s Chief Executive Officer (CEO) on April 1, 2017. On February 12, 2017, (the general shareholders meeting), his employment terms, including bonuses incremental to his monthly compensation were approved as follows: (1) bonuses of NIS 1 million based on target achievements as outlined in his agreement.; (2) an annual bonus based on the Company’s remuneration policy according to the decision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BALANCES AND TRANSACTIONS WITH RELATED PARTIES (Continued)</w:t>
      </w:r>
    </w:p>
    <w:p>
      <w:pPr>
        <w:spacing w:after="0" w:line="22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addition, upon commencement of his role, Mr. Michlin was granted 566,262 options to purchase Ordinary shares of the Company at an exercise price of NIS 19.97, representing 3.6% and 3.1% of the Company’s issued and outstanding capital on a fully diluted basis as of January 5, 2017, the date on which the board of directors approved the employment terms, and December 31, 2018, respectively. The price was determined according to the average closing market price of the Ordinary share 30 days before the date of grant. The options vest over four years from the date of grant as outlined in the agreement. In September 2019, Yaacov Michlin resigned as CEO.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the fair value of the options granted to Mr. Michlin, see Note 18b.</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Mr. Christopher R. von Jako, PhD commenced his role as the Company’s President and Chief Executive Officer (CEO) effective January 1, 2020. Key employment terms include an annual gross base salary and an annual performance-based bonus of up to six months of his base salary and equity grant of RSUs as further detailed in Note 18d.</w:t>
      </w:r>
    </w:p>
    <w:p>
      <w:pPr>
        <w:spacing w:after="0" w:line="184" w:lineRule="exact"/>
        <w:rPr>
          <w:sz w:val="20"/>
          <w:szCs w:val="20"/>
          <w:color w:val="auto"/>
        </w:rPr>
      </w:pPr>
    </w:p>
    <w:p>
      <w:pPr>
        <w:ind w:left="660" w:hanging="652"/>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 information regarding the fair value of the options granted to directors, see Note 18b.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EVENTS AFTER THE REPORTING PERIOD</w:t>
      </w:r>
    </w:p>
    <w:p>
      <w:pPr>
        <w:spacing w:after="0" w:line="229" w:lineRule="exact"/>
        <w:rPr>
          <w:sz w:val="20"/>
          <w:szCs w:val="20"/>
          <w:color w:val="auto"/>
        </w:rPr>
      </w:pPr>
    </w:p>
    <w:p>
      <w:pPr>
        <w:jc w:val="both"/>
        <w:ind w:left="660" w:hanging="652"/>
        <w:spacing w:after="0" w:line="270"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On January 26, 2021, the Board of Directors and on March 4, 2021 the shareholders (with respect to the directors), respectively, approved the repricing, by way of an exchange offer, of approximately 1.474 million Ordinary Shares (“Ordinary Shares”) that had previously been granted to officers, independent Board members, employees and consultants of the Company the pursuant to the Brainsway 2014 Share Incentive Plan, and the Brainsway Amended and Restated 2019 Share Incentive Plan (the “2014 Plan” and the “2019 Plan”, respectively) to an exercise price of $4.675 ($9.35 per ADS), being a price equal to the closing price per Ordinary Share on January 25, 2021, provided, however, that: (1) with respect to directors’ options, the repricing of each option will ,be subject to shareholders approval at an exercise price equal to the higher of (a) $4.675 ($9.35 per ADS) (b) the closing price per Ordinary Share on the last trading date before the date of approval by the shareholders and (2) the exercise price offered to U.S Taxpayers within the proposed exchange offer shall be the higher of (i) the exercise price above and (ii) the fair market value of the Company's ADSs on the last trading date before the filing of the exchange offer.</w:t>
      </w:r>
    </w:p>
    <w:p>
      <w:pPr>
        <w:spacing w:after="0" w:line="180" w:lineRule="exact"/>
        <w:rPr>
          <w:rFonts w:ascii="Arial" w:cs="Arial" w:eastAsia="Arial" w:hAnsi="Arial"/>
          <w:sz w:val="17"/>
          <w:szCs w:val="17"/>
          <w:color w:val="auto"/>
        </w:rPr>
      </w:pPr>
    </w:p>
    <w:p>
      <w:pPr>
        <w:jc w:val="both"/>
        <w:ind w:left="660" w:hanging="652"/>
        <w:spacing w:after="0" w:line="293" w:lineRule="auto"/>
        <w:tabs>
          <w:tab w:leader="none" w:pos="6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equity compensation package that the Company granted to the Company’s Chief Executive Officer (“CEO”) upon his employment, comprised of 240,000 performance-based restricted stock units (“RSUs”) of which 60,000 RSUs were granted through to January 26, 2021, and 180,000 RSUs have been committed to be provided in three future grants of 60,000 RSUs upon each anniversary of the employment start date of the CEO with the Company. These future grants, as originally contemplated, would have been subject to satisfaction of certain individual and corporate performance-based criteria as defined in the CEO’s employment agreement. The Board of Directors and shareholders approved to grant 180,000 RSUs to the CEO as an amendment to the terms of employment of the CEO, in lieu of future grants of such RSUs per above.</w:t>
      </w:r>
    </w:p>
    <w:p>
      <w:pPr>
        <w:spacing w:after="0" w:line="191" w:lineRule="exact"/>
        <w:rPr>
          <w:rFonts w:ascii="Arial" w:cs="Arial" w:eastAsia="Arial" w:hAnsi="Arial"/>
          <w:sz w:val="16"/>
          <w:szCs w:val="16"/>
          <w:color w:val="auto"/>
        </w:rPr>
      </w:pPr>
    </w:p>
    <w:p>
      <w:pPr>
        <w:jc w:val="both"/>
        <w:ind w:left="660" w:right="20" w:hanging="652"/>
        <w:spacing w:after="0" w:line="259"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announced on March 1, 2021, the closing of its underwritten public offering of 5,315,300 American Depositary Shares (“ADSs”), upsized to include 693,300 ADSs sold pursuant to the underwriters’ exercise in full of their option to purchase additional ADSs, at a price to the public of $8.50 per ADS. The gross proceeds from the offering, before deducting underwriting discounts and commissions and offering expenses, were approximately $45.2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TRANSLATION INTO ENGLISH]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160"/>
              <w:spacing w:after="0"/>
              <w:rPr>
                <w:sz w:val="20"/>
                <w:szCs w:val="20"/>
                <w:color w:val="auto"/>
              </w:rPr>
            </w:pPr>
            <w:r>
              <w:rPr>
                <w:rFonts w:ascii="Arial" w:cs="Arial" w:eastAsia="Arial" w:hAnsi="Arial"/>
                <w:sz w:val="18"/>
                <w:szCs w:val="18"/>
                <w:b w:val="1"/>
                <w:bCs w:val="1"/>
                <w:color w:val="auto"/>
              </w:rPr>
              <w:t>of</w:t>
            </w:r>
          </w:p>
        </w:tc>
      </w:tr>
      <w:tr>
        <w:trPr>
          <w:trHeight w:val="432"/>
        </w:trPr>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60" w:type="dxa"/>
            <w:vAlign w:val="bottom"/>
          </w:tcPr>
          <w:p>
            <w:pPr>
              <w:ind w:left="500"/>
              <w:spacing w:after="0"/>
              <w:rPr>
                <w:sz w:val="20"/>
                <w:szCs w:val="20"/>
                <w:color w:val="auto"/>
              </w:rPr>
            </w:pPr>
            <w:r>
              <w:rPr>
                <w:rFonts w:ascii="Arial" w:cs="Arial" w:eastAsia="Arial" w:hAnsi="Arial"/>
                <w:sz w:val="18"/>
                <w:szCs w:val="18"/>
                <w:b w:val="1"/>
                <w:bCs w:val="1"/>
                <w:color w:val="auto"/>
              </w:rPr>
              <w:t>Brainsway Limited</w:t>
            </w:r>
          </w:p>
        </w:tc>
      </w:tr>
      <w:tr>
        <w:trPr>
          <w:trHeight w:val="392"/>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288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453"/>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9740" w:type="dxa"/>
            <w:vAlign w:val="bottom"/>
            <w:gridSpan w:val="2"/>
          </w:tcPr>
          <w:p>
            <w:pPr>
              <w:ind w:left="40"/>
              <w:spacing w:after="0"/>
              <w:rPr>
                <w:sz w:val="20"/>
                <w:szCs w:val="20"/>
                <w:color w:val="auto"/>
              </w:rPr>
            </w:pPr>
            <w:r>
              <w:rPr>
                <w:rFonts w:ascii="Arial" w:cs="Arial" w:eastAsia="Arial" w:hAnsi="Arial"/>
                <w:sz w:val="18"/>
                <w:szCs w:val="18"/>
                <w:color w:val="auto"/>
              </w:rPr>
              <w:t>In these Articles of Incorporation, save if the context requires otherwise -</w:t>
            </w: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“Man”, “Person” or “Persons”</w:t>
            </w:r>
          </w:p>
        </w:tc>
        <w:tc>
          <w:tcPr>
            <w:tcW w:w="6860" w:type="dxa"/>
            <w:vAlign w:val="bottom"/>
          </w:tcPr>
          <w:p>
            <w:pPr>
              <w:ind w:left="1480"/>
              <w:spacing w:after="0"/>
              <w:rPr>
                <w:sz w:val="20"/>
                <w:szCs w:val="20"/>
                <w:color w:val="auto"/>
              </w:rPr>
            </w:pPr>
            <w:r>
              <w:rPr>
                <w:rFonts w:ascii="Arial" w:cs="Arial" w:eastAsia="Arial" w:hAnsi="Arial"/>
                <w:sz w:val="18"/>
                <w:szCs w:val="18"/>
                <w:color w:val="auto"/>
              </w:rPr>
              <w:t>Including a corporation</w:t>
            </w: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“In Writing”</w:t>
            </w:r>
          </w:p>
        </w:tc>
        <w:tc>
          <w:tcPr>
            <w:tcW w:w="2880" w:type="dxa"/>
            <w:vAlign w:val="bottom"/>
          </w:tcPr>
          <w:p>
            <w:pPr>
              <w:spacing w:after="0"/>
              <w:rPr>
                <w:sz w:val="24"/>
                <w:szCs w:val="24"/>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w w:val="92"/>
              </w:rPr>
              <w:t>Handwritten, printed, on a typewriter, on a photocopy, telex, fax or in any</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other manner which is readable.</w:t>
            </w: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“Registered Shareholder”</w:t>
            </w:r>
          </w:p>
        </w:tc>
        <w:tc>
          <w:tcPr>
            <w:tcW w:w="6860" w:type="dxa"/>
            <w:vAlign w:val="bottom"/>
          </w:tcPr>
          <w:p>
            <w:pPr>
              <w:ind w:left="1480"/>
              <w:spacing w:after="0"/>
              <w:rPr>
                <w:sz w:val="20"/>
                <w:szCs w:val="20"/>
                <w:color w:val="auto"/>
              </w:rPr>
            </w:pPr>
            <w:r>
              <w:rPr>
                <w:rFonts w:ascii="Arial" w:cs="Arial" w:eastAsia="Arial" w:hAnsi="Arial"/>
                <w:sz w:val="18"/>
                <w:szCs w:val="18"/>
                <w:color w:val="auto"/>
              </w:rPr>
              <w:t>Shareholder as per the definition of Article 177 (2) of the Law.</w:t>
            </w:r>
          </w:p>
        </w:tc>
      </w:tr>
      <w:tr>
        <w:trPr>
          <w:trHeight w:val="432"/>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“Unregistered Shareholder”</w:t>
            </w:r>
          </w:p>
        </w:tc>
        <w:tc>
          <w:tcPr>
            <w:tcW w:w="6860" w:type="dxa"/>
            <w:vAlign w:val="bottom"/>
          </w:tcPr>
          <w:p>
            <w:pPr>
              <w:ind w:left="1480"/>
              <w:spacing w:after="0"/>
              <w:rPr>
                <w:sz w:val="20"/>
                <w:szCs w:val="20"/>
                <w:color w:val="auto"/>
              </w:rPr>
            </w:pPr>
            <w:r>
              <w:rPr>
                <w:rFonts w:ascii="Arial" w:cs="Arial" w:eastAsia="Arial" w:hAnsi="Arial"/>
                <w:sz w:val="18"/>
                <w:szCs w:val="18"/>
                <w:color w:val="auto"/>
              </w:rPr>
              <w:t>Shareholder as per the definition of Article 177 (1) of the Law.</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2880" w:type="dxa"/>
            <w:vAlign w:val="bottom"/>
          </w:tcPr>
          <w:p>
            <w:pPr>
              <w:spacing w:after="0"/>
              <w:rPr>
                <w:sz w:val="24"/>
                <w:szCs w:val="24"/>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Brainsway Ltd.</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“The Law” or “The Companies Law”</w:t>
            </w:r>
          </w:p>
        </w:tc>
        <w:tc>
          <w:tcPr>
            <w:tcW w:w="6860" w:type="dxa"/>
            <w:vAlign w:val="bottom"/>
          </w:tcPr>
          <w:p>
            <w:pPr>
              <w:ind w:left="1480"/>
              <w:spacing w:after="0"/>
              <w:rPr>
                <w:sz w:val="20"/>
                <w:szCs w:val="20"/>
                <w:color w:val="auto"/>
              </w:rPr>
            </w:pPr>
            <w:r>
              <w:rPr>
                <w:rFonts w:ascii="Arial" w:cs="Arial" w:eastAsia="Arial" w:hAnsi="Arial"/>
                <w:sz w:val="18"/>
                <w:szCs w:val="18"/>
                <w:color w:val="auto"/>
              </w:rPr>
              <w:t>The Companies Law - 1999, as shall be from time to time and the</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Regulations issued thereunder.</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“The Securities Law”</w:t>
            </w:r>
          </w:p>
        </w:tc>
        <w:tc>
          <w:tcPr>
            <w:tcW w:w="6860" w:type="dxa"/>
            <w:vAlign w:val="bottom"/>
          </w:tcPr>
          <w:p>
            <w:pPr>
              <w:ind w:left="1480"/>
              <w:spacing w:after="0"/>
              <w:rPr>
                <w:sz w:val="20"/>
                <w:szCs w:val="20"/>
                <w:color w:val="auto"/>
              </w:rPr>
            </w:pPr>
            <w:r>
              <w:rPr>
                <w:rFonts w:ascii="Arial" w:cs="Arial" w:eastAsia="Arial" w:hAnsi="Arial"/>
                <w:sz w:val="18"/>
                <w:szCs w:val="18"/>
                <w:color w:val="auto"/>
              </w:rPr>
              <w:t>The Securities Law - 1968, as shall be from time to time and the</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Regulations thereunder, as issued from time to time.</w:t>
            </w:r>
          </w:p>
        </w:tc>
      </w:tr>
      <w:tr>
        <w:trPr>
          <w:trHeight w:val="432"/>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“The Secretary”</w:t>
            </w:r>
          </w:p>
        </w:tc>
        <w:tc>
          <w:tcPr>
            <w:tcW w:w="2880" w:type="dxa"/>
            <w:vAlign w:val="bottom"/>
          </w:tcPr>
          <w:p>
            <w:pPr>
              <w:spacing w:after="0"/>
              <w:rPr>
                <w:sz w:val="24"/>
                <w:szCs w:val="24"/>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The appointed Secretary of the Company.</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“The Registry” or “The Registry of Shareholders”</w:t>
            </w:r>
          </w:p>
        </w:tc>
        <w:tc>
          <w:tcPr>
            <w:tcW w:w="6860" w:type="dxa"/>
            <w:vAlign w:val="bottom"/>
          </w:tcPr>
          <w:p>
            <w:pPr>
              <w:ind w:left="1480"/>
              <w:spacing w:after="0"/>
              <w:rPr>
                <w:sz w:val="20"/>
                <w:szCs w:val="20"/>
                <w:color w:val="auto"/>
              </w:rPr>
            </w:pPr>
            <w:r>
              <w:rPr>
                <w:rFonts w:ascii="Arial" w:cs="Arial" w:eastAsia="Arial" w:hAnsi="Arial"/>
                <w:sz w:val="18"/>
                <w:szCs w:val="18"/>
                <w:color w:val="auto"/>
                <w:w w:val="94"/>
              </w:rPr>
              <w:t>The registry of shareholders of the company which must be maintained</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according to the Law.</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“The Office” or “The Registered Office”</w:t>
            </w:r>
          </w:p>
        </w:tc>
        <w:tc>
          <w:tcPr>
            <w:tcW w:w="6860" w:type="dxa"/>
            <w:vAlign w:val="bottom"/>
          </w:tcPr>
          <w:p>
            <w:pPr>
              <w:ind w:left="1480"/>
              <w:spacing w:after="0"/>
              <w:rPr>
                <w:sz w:val="20"/>
                <w:szCs w:val="20"/>
                <w:color w:val="auto"/>
              </w:rPr>
            </w:pPr>
            <w:r>
              <w:rPr>
                <w:rFonts w:ascii="Arial" w:cs="Arial" w:eastAsia="Arial" w:hAnsi="Arial"/>
                <w:sz w:val="18"/>
                <w:szCs w:val="18"/>
                <w:color w:val="auto"/>
                <w:w w:val="95"/>
              </w:rPr>
              <w:t>The office of the Company, whose address shall be registered with the</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Registrar of Companies, as shall be from time to time.</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“The Ordinance” or “The Companies Ordinance”</w:t>
            </w:r>
          </w:p>
        </w:tc>
        <w:tc>
          <w:tcPr>
            <w:tcW w:w="6860" w:type="dxa"/>
            <w:vAlign w:val="bottom"/>
          </w:tcPr>
          <w:p>
            <w:pPr>
              <w:ind w:left="1480"/>
              <w:spacing w:after="0"/>
              <w:rPr>
                <w:sz w:val="20"/>
                <w:szCs w:val="20"/>
                <w:color w:val="auto"/>
              </w:rPr>
            </w:pPr>
            <w:r>
              <w:rPr>
                <w:rFonts w:ascii="Arial" w:cs="Arial" w:eastAsia="Arial" w:hAnsi="Arial"/>
                <w:sz w:val="18"/>
                <w:szCs w:val="18"/>
                <w:color w:val="auto"/>
                <w:w w:val="92"/>
              </w:rPr>
              <w:t>The Companies Ordinance (new version) - 1983, as shall be from time to</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time, and regulations which shall be issued thereunder.</w:t>
            </w: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5"/>
              </w:rPr>
              <w:t>“Special Majority”</w:t>
            </w:r>
          </w:p>
        </w:tc>
        <w:tc>
          <w:tcPr>
            <w:tcW w:w="2880" w:type="dxa"/>
            <w:vAlign w:val="bottom"/>
          </w:tcPr>
          <w:p>
            <w:pPr>
              <w:spacing w:after="0"/>
              <w:rPr>
                <w:sz w:val="24"/>
                <w:szCs w:val="24"/>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A majority of at least two-thirds of all the votes of the shareholders</w:t>
            </w:r>
          </w:p>
        </w:tc>
      </w:tr>
      <w:tr>
        <w:trPr>
          <w:trHeight w:val="216"/>
        </w:trPr>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w w:val="89"/>
              </w:rPr>
              <w:t>present at the general meeting or in the class meeting, as the case may be,</w:t>
            </w:r>
          </w:p>
        </w:tc>
      </w:tr>
      <w:tr>
        <w:trPr>
          <w:trHeight w:val="216"/>
        </w:trPr>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w w:val="97"/>
              </w:rPr>
              <w:t>entitled to vote and voted on their own or by proxy, without taking into</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account abstentions.</w:t>
            </w:r>
          </w:p>
        </w:tc>
      </w:tr>
      <w:tr>
        <w:trPr>
          <w:trHeight w:val="418"/>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“Ordinary Majority”</w:t>
            </w:r>
          </w:p>
        </w:tc>
        <w:tc>
          <w:tcPr>
            <w:tcW w:w="6860" w:type="dxa"/>
            <w:vAlign w:val="bottom"/>
          </w:tcPr>
          <w:p>
            <w:pPr>
              <w:ind w:left="1480"/>
              <w:spacing w:after="0"/>
              <w:rPr>
                <w:sz w:val="20"/>
                <w:szCs w:val="20"/>
                <w:color w:val="auto"/>
              </w:rPr>
            </w:pPr>
            <w:r>
              <w:rPr>
                <w:rFonts w:ascii="Arial" w:cs="Arial" w:eastAsia="Arial" w:hAnsi="Arial"/>
                <w:sz w:val="18"/>
                <w:szCs w:val="18"/>
                <w:color w:val="auto"/>
                <w:w w:val="97"/>
              </w:rPr>
              <w:t>Ordinary majority of all of the votes of the shareholders present in the</w:t>
            </w:r>
          </w:p>
        </w:tc>
      </w:tr>
      <w:tr>
        <w:trPr>
          <w:trHeight w:val="230"/>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general meeting or in the class meeting, as the case may be,</w:t>
            </w:r>
          </w:p>
        </w:tc>
      </w:tr>
      <w:tr>
        <w:trPr>
          <w:trHeight w:val="891"/>
        </w:trPr>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68"/>
        </w:trPr>
        <w:tc>
          <w:tcPr>
            <w:tcW w:w="7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880" w:type="dxa"/>
            <w:vAlign w:val="bottom"/>
            <w:shd w:val="clear" w:color="auto" w:fill="000000"/>
          </w:tcPr>
          <w:p>
            <w:pPr>
              <w:spacing w:after="0"/>
              <w:rPr>
                <w:sz w:val="5"/>
                <w:szCs w:val="5"/>
                <w:color w:val="auto"/>
              </w:rPr>
            </w:pPr>
          </w:p>
        </w:tc>
        <w:tc>
          <w:tcPr>
            <w:tcW w:w="6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2" w:right="33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w w:val="90"/>
              </w:rPr>
              <w:t>entitled to vote and having voted, without taking into account abstentions.</w:t>
            </w:r>
          </w:p>
        </w:tc>
      </w:tr>
      <w:tr>
        <w:trPr>
          <w:trHeight w:val="432"/>
        </w:trPr>
        <w:tc>
          <w:tcPr>
            <w:tcW w:w="1520" w:type="dxa"/>
            <w:vAlign w:val="bottom"/>
          </w:tcPr>
          <w:p>
            <w:pPr>
              <w:spacing w:after="0"/>
              <w:rPr>
                <w:sz w:val="20"/>
                <w:szCs w:val="20"/>
                <w:color w:val="auto"/>
              </w:rPr>
            </w:pPr>
            <w:r>
              <w:rPr>
                <w:rFonts w:ascii="Arial" w:cs="Arial" w:eastAsia="Arial" w:hAnsi="Arial"/>
                <w:sz w:val="18"/>
                <w:szCs w:val="18"/>
                <w:b w:val="1"/>
                <w:bCs w:val="1"/>
                <w:color w:val="auto"/>
                <w:w w:val="95"/>
              </w:rPr>
              <w:t>“Year” or “Month”</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Of the Gregorian calendar.</w:t>
            </w:r>
          </w:p>
        </w:tc>
      </w:tr>
      <w:tr>
        <w:trPr>
          <w:trHeight w:val="418"/>
        </w:trPr>
        <w:tc>
          <w:tcPr>
            <w:tcW w:w="152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w w:val="89"/>
              </w:rPr>
              <w:t>Company, partnership, cooperative association, association and any other</w:t>
            </w:r>
          </w:p>
        </w:tc>
      </w:tr>
      <w:tr>
        <w:trPr>
          <w:trHeight w:val="230"/>
        </w:trPr>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incorporated or unincorporated group of persons.</w:t>
            </w:r>
          </w:p>
        </w:tc>
      </w:tr>
      <w:tr>
        <w:trPr>
          <w:trHeight w:val="418"/>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“These Articles” or “The Articles”</w:t>
            </w:r>
          </w:p>
        </w:tc>
        <w:tc>
          <w:tcPr>
            <w:tcW w:w="5700" w:type="dxa"/>
            <w:vAlign w:val="bottom"/>
          </w:tcPr>
          <w:p>
            <w:pPr>
              <w:ind w:left="380"/>
              <w:spacing w:after="0"/>
              <w:rPr>
                <w:sz w:val="20"/>
                <w:szCs w:val="20"/>
                <w:color w:val="auto"/>
              </w:rPr>
            </w:pPr>
            <w:r>
              <w:rPr>
                <w:rFonts w:ascii="Arial" w:cs="Arial" w:eastAsia="Arial" w:hAnsi="Arial"/>
                <w:sz w:val="18"/>
                <w:szCs w:val="18"/>
                <w:color w:val="auto"/>
                <w:w w:val="91"/>
              </w:rPr>
              <w:t>The Articles of Incorporation in this document, as shall be amended from</w:t>
            </w:r>
          </w:p>
        </w:tc>
      </w:tr>
      <w:tr>
        <w:trPr>
          <w:trHeight w:val="230"/>
        </w:trPr>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time to time.</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1.2.</w:t>
            </w:r>
          </w:p>
        </w:tc>
        <w:tc>
          <w:tcPr>
            <w:tcW w:w="9660" w:type="dxa"/>
            <w:vAlign w:val="bottom"/>
            <w:gridSpan w:val="4"/>
          </w:tcPr>
          <w:p>
            <w:pPr>
              <w:ind w:left="20"/>
              <w:spacing w:after="0"/>
              <w:rPr>
                <w:sz w:val="20"/>
                <w:szCs w:val="20"/>
                <w:color w:val="auto"/>
              </w:rPr>
            </w:pPr>
            <w:r>
              <w:rPr>
                <w:rFonts w:ascii="Arial" w:cs="Arial" w:eastAsia="Arial" w:hAnsi="Arial"/>
                <w:sz w:val="18"/>
                <w:szCs w:val="18"/>
                <w:color w:val="auto"/>
                <w:w w:val="92"/>
              </w:rPr>
              <w:t>For every term in these Articles which has not been defined above, the significance shall be that which is known in The Companies</w:t>
            </w:r>
          </w:p>
        </w:tc>
      </w:tr>
      <w:tr>
        <w:trPr>
          <w:trHeight w:val="216"/>
        </w:trPr>
        <w:tc>
          <w:tcPr>
            <w:tcW w:w="11180" w:type="dxa"/>
            <w:vAlign w:val="bottom"/>
            <w:gridSpan w:val="5"/>
          </w:tcPr>
          <w:p>
            <w:pPr>
              <w:ind w:left="500"/>
              <w:spacing w:after="0"/>
              <w:rPr>
                <w:sz w:val="20"/>
                <w:szCs w:val="20"/>
                <w:color w:val="auto"/>
              </w:rPr>
            </w:pPr>
            <w:r>
              <w:rPr>
                <w:rFonts w:ascii="Arial" w:cs="Arial" w:eastAsia="Arial" w:hAnsi="Arial"/>
                <w:sz w:val="18"/>
                <w:szCs w:val="18"/>
                <w:color w:val="auto"/>
                <w:w w:val="91"/>
              </w:rPr>
              <w:t>Law, save if this is contradictory to the matter which is written or its contents; the singular shall include the plural and vice versa and the masculine</w:t>
            </w:r>
          </w:p>
        </w:tc>
      </w:tr>
      <w:tr>
        <w:trPr>
          <w:trHeight w:val="230"/>
        </w:trPr>
        <w:tc>
          <w:tcPr>
            <w:tcW w:w="5480" w:type="dxa"/>
            <w:vAlign w:val="bottom"/>
            <w:gridSpan w:val="4"/>
          </w:tcPr>
          <w:p>
            <w:pPr>
              <w:ind w:left="500"/>
              <w:spacing w:after="0"/>
              <w:rPr>
                <w:sz w:val="20"/>
                <w:szCs w:val="20"/>
                <w:color w:val="auto"/>
              </w:rPr>
            </w:pPr>
            <w:r>
              <w:rPr>
                <w:rFonts w:ascii="Arial" w:cs="Arial" w:eastAsia="Arial" w:hAnsi="Arial"/>
                <w:sz w:val="18"/>
                <w:szCs w:val="18"/>
                <w:color w:val="auto"/>
              </w:rPr>
              <w:t>shall include the feminine.</w:t>
            </w:r>
          </w:p>
        </w:tc>
        <w:tc>
          <w:tcPr>
            <w:tcW w:w="5700" w:type="dxa"/>
            <w:vAlign w:val="bottom"/>
          </w:tcPr>
          <w:p>
            <w:pPr>
              <w:spacing w:after="0"/>
              <w:rPr>
                <w:sz w:val="20"/>
                <w:szCs w:val="20"/>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1.3.</w:t>
            </w:r>
          </w:p>
        </w:tc>
        <w:tc>
          <w:tcPr>
            <w:tcW w:w="9660" w:type="dxa"/>
            <w:vAlign w:val="bottom"/>
            <w:gridSpan w:val="4"/>
          </w:tcPr>
          <w:p>
            <w:pPr>
              <w:ind w:left="20"/>
              <w:spacing w:after="0"/>
              <w:rPr>
                <w:sz w:val="20"/>
                <w:szCs w:val="20"/>
                <w:color w:val="auto"/>
              </w:rPr>
            </w:pPr>
            <w:r>
              <w:rPr>
                <w:rFonts w:ascii="Arial" w:cs="Arial" w:eastAsia="Arial" w:hAnsi="Arial"/>
                <w:sz w:val="18"/>
                <w:szCs w:val="18"/>
                <w:color w:val="auto"/>
                <w:w w:val="99"/>
              </w:rPr>
              <w:t>The headings in these Articles are intended for convenience only and may not be used for interpretation of these Articles.</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1.4.</w:t>
            </w:r>
          </w:p>
        </w:tc>
        <w:tc>
          <w:tcPr>
            <w:tcW w:w="9660" w:type="dxa"/>
            <w:vAlign w:val="bottom"/>
            <w:gridSpan w:val="4"/>
          </w:tcPr>
          <w:p>
            <w:pPr>
              <w:ind w:left="20"/>
              <w:spacing w:after="0"/>
              <w:rPr>
                <w:sz w:val="20"/>
                <w:szCs w:val="20"/>
                <w:color w:val="auto"/>
              </w:rPr>
            </w:pPr>
            <w:r>
              <w:rPr>
                <w:rFonts w:ascii="Arial" w:cs="Arial" w:eastAsia="Arial" w:hAnsi="Arial"/>
                <w:sz w:val="18"/>
                <w:szCs w:val="18"/>
                <w:color w:val="auto"/>
                <w:w w:val="93"/>
              </w:rPr>
              <w:t>In every place where these Articles determine that its provisions shall apply subject to the Ordinance and/or The Companies Law</w:t>
            </w:r>
          </w:p>
        </w:tc>
      </w:tr>
      <w:tr>
        <w:trPr>
          <w:trHeight w:val="216"/>
        </w:trPr>
        <w:tc>
          <w:tcPr>
            <w:tcW w:w="11180" w:type="dxa"/>
            <w:vAlign w:val="bottom"/>
            <w:gridSpan w:val="5"/>
          </w:tcPr>
          <w:p>
            <w:pPr>
              <w:ind w:left="500"/>
              <w:spacing w:after="0"/>
              <w:rPr>
                <w:sz w:val="20"/>
                <w:szCs w:val="20"/>
                <w:color w:val="auto"/>
              </w:rPr>
            </w:pPr>
            <w:r>
              <w:rPr>
                <w:rFonts w:ascii="Arial" w:cs="Arial" w:eastAsia="Arial" w:hAnsi="Arial"/>
                <w:sz w:val="18"/>
                <w:szCs w:val="18"/>
                <w:color w:val="auto"/>
                <w:w w:val="93"/>
              </w:rPr>
              <w:t>and/or any Law, the intention is the provisions of the Ordinance and/or the provisions of The Companies Law and/or any Law, which may not be</w:t>
            </w:r>
          </w:p>
        </w:tc>
      </w:tr>
      <w:tr>
        <w:trPr>
          <w:trHeight w:val="230"/>
        </w:trPr>
        <w:tc>
          <w:tcPr>
            <w:tcW w:w="5480" w:type="dxa"/>
            <w:vAlign w:val="bottom"/>
            <w:gridSpan w:val="4"/>
          </w:tcPr>
          <w:p>
            <w:pPr>
              <w:ind w:left="500"/>
              <w:spacing w:after="0"/>
              <w:rPr>
                <w:sz w:val="20"/>
                <w:szCs w:val="20"/>
                <w:color w:val="auto"/>
              </w:rPr>
            </w:pPr>
            <w:r>
              <w:rPr>
                <w:rFonts w:ascii="Arial" w:cs="Arial" w:eastAsia="Arial" w:hAnsi="Arial"/>
                <w:sz w:val="18"/>
                <w:szCs w:val="18"/>
                <w:color w:val="auto"/>
              </w:rPr>
              <w:t>stipulated upon, save if the context requires otherwise.</w:t>
            </w:r>
          </w:p>
        </w:tc>
        <w:tc>
          <w:tcPr>
            <w:tcW w:w="5700" w:type="dxa"/>
            <w:vAlign w:val="bottom"/>
          </w:tcPr>
          <w:p>
            <w:pPr>
              <w:spacing w:after="0"/>
              <w:rPr>
                <w:sz w:val="20"/>
                <w:szCs w:val="20"/>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1.5.</w:t>
            </w:r>
          </w:p>
        </w:tc>
        <w:tc>
          <w:tcPr>
            <w:tcW w:w="9660" w:type="dxa"/>
            <w:vAlign w:val="bottom"/>
            <w:gridSpan w:val="4"/>
          </w:tcPr>
          <w:p>
            <w:pPr>
              <w:ind w:left="20"/>
              <w:spacing w:after="0"/>
              <w:rPr>
                <w:sz w:val="20"/>
                <w:szCs w:val="20"/>
                <w:color w:val="auto"/>
              </w:rPr>
            </w:pPr>
            <w:r>
              <w:rPr>
                <w:rFonts w:ascii="Arial" w:cs="Arial" w:eastAsia="Arial" w:hAnsi="Arial"/>
                <w:sz w:val="18"/>
                <w:szCs w:val="18"/>
                <w:color w:val="auto"/>
                <w:w w:val="90"/>
              </w:rPr>
              <w:t>The provisions which maybe stipulated upon in The Companies Law shall apply to the Company save if determine otherwise in these</w:t>
            </w:r>
          </w:p>
        </w:tc>
      </w:tr>
      <w:tr>
        <w:trPr>
          <w:trHeight w:val="230"/>
        </w:trPr>
        <w:tc>
          <w:tcPr>
            <w:tcW w:w="11180" w:type="dxa"/>
            <w:vAlign w:val="bottom"/>
            <w:gridSpan w:val="5"/>
          </w:tcPr>
          <w:p>
            <w:pPr>
              <w:ind w:left="500"/>
              <w:spacing w:after="0"/>
              <w:rPr>
                <w:sz w:val="20"/>
                <w:szCs w:val="20"/>
                <w:color w:val="auto"/>
              </w:rPr>
            </w:pPr>
            <w:r>
              <w:rPr>
                <w:rFonts w:ascii="Arial" w:cs="Arial" w:eastAsia="Arial" w:hAnsi="Arial"/>
                <w:sz w:val="18"/>
                <w:szCs w:val="18"/>
                <w:color w:val="auto"/>
              </w:rPr>
              <w:t>Articles and to such extent as there is no contradiction between them and the provisions of these Articles.</w:t>
            </w:r>
          </w:p>
        </w:tc>
      </w:tr>
      <w:tr>
        <w:trPr>
          <w:trHeight w:val="391"/>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Name of the Company</w:t>
            </w:r>
          </w:p>
        </w:tc>
        <w:tc>
          <w:tcPr>
            <w:tcW w:w="5700" w:type="dxa"/>
            <w:vAlign w:val="bottom"/>
          </w:tcPr>
          <w:p>
            <w:pPr>
              <w:spacing w:after="0"/>
              <w:rPr>
                <w:sz w:val="24"/>
                <w:szCs w:val="24"/>
                <w:color w:val="auto"/>
              </w:rPr>
            </w:pPr>
          </w:p>
        </w:tc>
      </w:tr>
      <w:tr>
        <w:trPr>
          <w:trHeight w:val="453"/>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The name of the Company is Brainsway Ltd.</w:t>
            </w:r>
          </w:p>
        </w:tc>
        <w:tc>
          <w:tcPr>
            <w:tcW w:w="5700" w:type="dxa"/>
            <w:vAlign w:val="bottom"/>
          </w:tcPr>
          <w:p>
            <w:pPr>
              <w:spacing w:after="0"/>
              <w:rPr>
                <w:sz w:val="24"/>
                <w:szCs w:val="24"/>
                <w:color w:val="auto"/>
              </w:rPr>
            </w:pPr>
          </w:p>
        </w:tc>
      </w:tr>
      <w:tr>
        <w:trPr>
          <w:trHeight w:val="391"/>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Limitation of Liability</w:t>
            </w:r>
          </w:p>
        </w:tc>
        <w:tc>
          <w:tcPr>
            <w:tcW w:w="5700" w:type="dxa"/>
            <w:vAlign w:val="bottom"/>
          </w:tcPr>
          <w:p>
            <w:pPr>
              <w:spacing w:after="0"/>
              <w:rPr>
                <w:sz w:val="24"/>
                <w:szCs w:val="24"/>
                <w:color w:val="auto"/>
              </w:rPr>
            </w:pPr>
          </w:p>
        </w:tc>
      </w:tr>
      <w:tr>
        <w:trPr>
          <w:trHeight w:val="453"/>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Limited liability</w:t>
            </w:r>
          </w:p>
        </w:tc>
        <w:tc>
          <w:tcPr>
            <w:tcW w:w="5700" w:type="dxa"/>
            <w:vAlign w:val="bottom"/>
          </w:tcPr>
          <w:p>
            <w:pPr>
              <w:spacing w:after="0"/>
              <w:rPr>
                <w:sz w:val="24"/>
                <w:szCs w:val="24"/>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3.1.</w:t>
            </w:r>
          </w:p>
        </w:tc>
        <w:tc>
          <w:tcPr>
            <w:tcW w:w="9660" w:type="dxa"/>
            <w:vAlign w:val="bottom"/>
            <w:gridSpan w:val="4"/>
          </w:tcPr>
          <w:p>
            <w:pPr>
              <w:ind w:left="20"/>
              <w:spacing w:after="0"/>
              <w:rPr>
                <w:sz w:val="20"/>
                <w:szCs w:val="20"/>
                <w:color w:val="auto"/>
              </w:rPr>
            </w:pPr>
            <w:r>
              <w:rPr>
                <w:rFonts w:ascii="Arial" w:cs="Arial" w:eastAsia="Arial" w:hAnsi="Arial"/>
                <w:sz w:val="18"/>
                <w:szCs w:val="18"/>
                <w:color w:val="auto"/>
                <w:w w:val="94"/>
              </w:rPr>
              <w:t>The liability of a shareholder for the debts of the Company is limited to the discharge of the amount (including premium) at which</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08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shares were allotted to him but not less than of nominal value of the shares allotted to him, save if shares were allotted to him at law for a</w:t>
            </w:r>
          </w:p>
        </w:tc>
      </w:tr>
      <w:tr>
        <w:trPr>
          <w:trHeight w:val="216"/>
        </w:trPr>
        <w:tc>
          <w:tcPr>
            <w:tcW w:w="400" w:type="dxa"/>
            <w:vAlign w:val="bottom"/>
          </w:tcPr>
          <w:p>
            <w:pPr>
              <w:spacing w:after="0"/>
              <w:rPr>
                <w:sz w:val="18"/>
                <w:szCs w:val="18"/>
                <w:color w:val="auto"/>
              </w:rPr>
            </w:pPr>
          </w:p>
        </w:tc>
        <w:tc>
          <w:tcPr>
            <w:tcW w:w="10840" w:type="dxa"/>
            <w:vAlign w:val="bottom"/>
            <w:gridSpan w:val="2"/>
          </w:tcPr>
          <w:p>
            <w:pPr>
              <w:ind w:left="100"/>
              <w:spacing w:after="0"/>
              <w:rPr>
                <w:sz w:val="20"/>
                <w:szCs w:val="20"/>
                <w:color w:val="auto"/>
              </w:rPr>
            </w:pPr>
            <w:r>
              <w:rPr>
                <w:rFonts w:ascii="Arial" w:cs="Arial" w:eastAsia="Arial" w:hAnsi="Arial"/>
                <w:sz w:val="18"/>
                <w:szCs w:val="18"/>
                <w:color w:val="auto"/>
                <w:w w:val="93"/>
              </w:rPr>
              <w:t>consideration which is lower than their nominal value, in which case his liability is limited to the discharge of the consideration for which the share</w:t>
            </w:r>
          </w:p>
        </w:tc>
      </w:tr>
      <w:tr>
        <w:trPr>
          <w:trHeight w:val="230"/>
        </w:trPr>
        <w:tc>
          <w:tcPr>
            <w:tcW w:w="400" w:type="dxa"/>
            <w:vAlign w:val="bottom"/>
          </w:tcPr>
          <w:p>
            <w:pPr>
              <w:spacing w:after="0"/>
              <w:rPr>
                <w:sz w:val="20"/>
                <w:szCs w:val="20"/>
                <w:color w:val="auto"/>
              </w:rPr>
            </w:pPr>
          </w:p>
        </w:tc>
        <w:tc>
          <w:tcPr>
            <w:tcW w:w="10840" w:type="dxa"/>
            <w:vAlign w:val="bottom"/>
            <w:gridSpan w:val="2"/>
          </w:tcPr>
          <w:p>
            <w:pPr>
              <w:ind w:left="100"/>
              <w:spacing w:after="0"/>
              <w:rPr>
                <w:sz w:val="20"/>
                <w:szCs w:val="20"/>
                <w:color w:val="auto"/>
              </w:rPr>
            </w:pPr>
            <w:r>
              <w:rPr>
                <w:rFonts w:ascii="Arial" w:cs="Arial" w:eastAsia="Arial" w:hAnsi="Arial"/>
                <w:sz w:val="18"/>
                <w:szCs w:val="18"/>
                <w:color w:val="auto"/>
              </w:rPr>
              <w:t>was allotted to him.</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10840" w:type="dxa"/>
            <w:vAlign w:val="bottom"/>
            <w:gridSpan w:val="2"/>
          </w:tcPr>
          <w:p>
            <w:pPr>
              <w:ind w:left="1140"/>
              <w:spacing w:after="0"/>
              <w:rPr>
                <w:sz w:val="20"/>
                <w:szCs w:val="20"/>
                <w:color w:val="auto"/>
              </w:rPr>
            </w:pPr>
            <w:r>
              <w:rPr>
                <w:rFonts w:ascii="Arial" w:cs="Arial" w:eastAsia="Arial" w:hAnsi="Arial"/>
                <w:sz w:val="18"/>
                <w:szCs w:val="18"/>
                <w:color w:val="auto"/>
                <w:w w:val="91"/>
              </w:rPr>
              <w:t>The Company is not entitled to change the liability of a shareholder or to obligate a shareholder to purchase additional shares without</w:t>
            </w:r>
          </w:p>
        </w:tc>
      </w:tr>
      <w:tr>
        <w:trPr>
          <w:trHeight w:val="230"/>
        </w:trPr>
        <w:tc>
          <w:tcPr>
            <w:tcW w:w="400" w:type="dxa"/>
            <w:vAlign w:val="bottom"/>
          </w:tcPr>
          <w:p>
            <w:pPr>
              <w:spacing w:after="0"/>
              <w:rPr>
                <w:sz w:val="20"/>
                <w:szCs w:val="20"/>
                <w:color w:val="auto"/>
              </w:rPr>
            </w:pPr>
          </w:p>
        </w:tc>
        <w:tc>
          <w:tcPr>
            <w:tcW w:w="10840" w:type="dxa"/>
            <w:vAlign w:val="bottom"/>
            <w:gridSpan w:val="2"/>
          </w:tcPr>
          <w:p>
            <w:pPr>
              <w:ind w:left="100"/>
              <w:spacing w:after="0"/>
              <w:rPr>
                <w:sz w:val="20"/>
                <w:szCs w:val="20"/>
                <w:color w:val="auto"/>
              </w:rPr>
            </w:pPr>
            <w:r>
              <w:rPr>
                <w:rFonts w:ascii="Arial" w:cs="Arial" w:eastAsia="Arial" w:hAnsi="Arial"/>
                <w:sz w:val="18"/>
                <w:szCs w:val="18"/>
                <w:color w:val="auto"/>
              </w:rPr>
              <w:t>his consents.</w:t>
            </w:r>
          </w:p>
        </w:tc>
      </w:tr>
      <w:tr>
        <w:trPr>
          <w:trHeight w:val="391"/>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Purposes of the Company</w:t>
            </w:r>
          </w:p>
        </w:tc>
      </w:tr>
      <w:tr>
        <w:trPr>
          <w:trHeight w:val="20"/>
        </w:trPr>
        <w:tc>
          <w:tcPr>
            <w:tcW w:w="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53"/>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10840" w:type="dxa"/>
            <w:vAlign w:val="bottom"/>
            <w:gridSpan w:val="2"/>
          </w:tcPr>
          <w:p>
            <w:pPr>
              <w:ind w:left="1440"/>
              <w:spacing w:after="0"/>
              <w:rPr>
                <w:sz w:val="20"/>
                <w:szCs w:val="20"/>
                <w:color w:val="auto"/>
              </w:rPr>
            </w:pPr>
            <w:r>
              <w:rPr>
                <w:rFonts w:ascii="Arial" w:cs="Arial" w:eastAsia="Arial" w:hAnsi="Arial"/>
                <w:sz w:val="18"/>
                <w:szCs w:val="18"/>
                <w:color w:val="auto"/>
              </w:rPr>
              <w:t>The purposes for which the Company was established:</w:t>
            </w:r>
          </w:p>
        </w:tc>
      </w:tr>
      <w:tr>
        <w:trPr>
          <w:trHeight w:val="891"/>
        </w:trPr>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9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4"/>
          </w:tcPr>
          <w:p>
            <w:pPr>
              <w:ind w:left="460"/>
              <w:spacing w:after="0"/>
              <w:rPr>
                <w:sz w:val="20"/>
                <w:szCs w:val="20"/>
                <w:color w:val="auto"/>
              </w:rPr>
            </w:pPr>
            <w:r>
              <w:rPr>
                <w:rFonts w:ascii="Arial" w:cs="Arial" w:eastAsia="Arial" w:hAnsi="Arial"/>
                <w:sz w:val="18"/>
                <w:szCs w:val="18"/>
                <w:color w:val="auto"/>
              </w:rPr>
              <w:t>Research, development, marketing and sales of medical devices for the treatment of the human brain.</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4"/>
          </w:tcPr>
          <w:p>
            <w:pPr>
              <w:ind w:left="460"/>
              <w:spacing w:after="0"/>
              <w:rPr>
                <w:sz w:val="20"/>
                <w:szCs w:val="20"/>
                <w:color w:val="auto"/>
              </w:rPr>
            </w:pPr>
            <w:r>
              <w:rPr>
                <w:rFonts w:ascii="Arial" w:cs="Arial" w:eastAsia="Arial" w:hAnsi="Arial"/>
                <w:sz w:val="18"/>
                <w:szCs w:val="18"/>
                <w:color w:val="auto"/>
                <w:w w:val="90"/>
              </w:rPr>
              <w:t>To engage in any matter or issue or subject which is legally permissible, at the discretion of the directors and the business managers of</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the Company.</w:t>
            </w:r>
          </w:p>
        </w:tc>
      </w:tr>
      <w:tr>
        <w:trPr>
          <w:trHeight w:val="391"/>
        </w:trPr>
        <w:tc>
          <w:tcPr>
            <w:tcW w:w="11240" w:type="dxa"/>
            <w:vAlign w:val="bottom"/>
            <w:gridSpan w:val="7"/>
          </w:tcPr>
          <w:p>
            <w:pPr>
              <w:spacing w:after="0"/>
              <w:rPr>
                <w:sz w:val="20"/>
                <w:szCs w:val="20"/>
                <w:color w:val="auto"/>
              </w:rPr>
            </w:pPr>
            <w:r>
              <w:rPr>
                <w:rFonts w:ascii="Arial" w:cs="Arial" w:eastAsia="Arial" w:hAnsi="Arial"/>
                <w:sz w:val="18"/>
                <w:szCs w:val="18"/>
                <w:b w:val="1"/>
                <w:bCs w:val="1"/>
                <w:color w:val="auto"/>
              </w:rPr>
              <w:t>Contributions</w:t>
            </w:r>
          </w:p>
        </w:tc>
      </w:tr>
      <w:tr>
        <w:trPr>
          <w:trHeight w:val="438"/>
        </w:trPr>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w:t>
            </w: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w w:val="92"/>
              </w:rPr>
              <w:t>The Company is entitled to contribute reasonable amounts to worthy causes, even if the contribution is not in a framework of the</w:t>
            </w:r>
          </w:p>
        </w:tc>
      </w:tr>
      <w:tr>
        <w:trPr>
          <w:trHeight w:val="216"/>
        </w:trPr>
        <w:tc>
          <w:tcPr>
            <w:tcW w:w="400" w:type="dxa"/>
            <w:vAlign w:val="bottom"/>
          </w:tcPr>
          <w:p>
            <w:pPr>
              <w:spacing w:after="0"/>
              <w:rPr>
                <w:sz w:val="18"/>
                <w:szCs w:val="18"/>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w w:val="93"/>
              </w:rPr>
              <w:t>business considerations of the Company. The Board of Directors is authorized to determine, at its discretion, the amount of the contribution, the</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purposes for which it is made, the identity of the recipient and every other condition in this context.</w:t>
            </w:r>
          </w:p>
        </w:tc>
      </w:tr>
      <w:tr>
        <w:trPr>
          <w:trHeight w:val="391"/>
        </w:trPr>
        <w:tc>
          <w:tcPr>
            <w:tcW w:w="11240" w:type="dxa"/>
            <w:vAlign w:val="bottom"/>
            <w:gridSpan w:val="7"/>
          </w:tcPr>
          <w:p>
            <w:pPr>
              <w:spacing w:after="0"/>
              <w:rPr>
                <w:sz w:val="20"/>
                <w:szCs w:val="20"/>
                <w:color w:val="auto"/>
              </w:rPr>
            </w:pPr>
            <w:r>
              <w:rPr>
                <w:rFonts w:ascii="Arial" w:cs="Arial" w:eastAsia="Arial" w:hAnsi="Arial"/>
                <w:sz w:val="18"/>
                <w:szCs w:val="18"/>
                <w:b w:val="1"/>
                <w:bCs w:val="1"/>
                <w:color w:val="auto"/>
              </w:rPr>
              <w:t>The Registered Office</w:t>
            </w:r>
          </w:p>
        </w:tc>
      </w:tr>
      <w:tr>
        <w:trPr>
          <w:trHeight w:val="438"/>
        </w:trPr>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w:t>
            </w: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w w:val="91"/>
              </w:rPr>
              <w:t>The registered office of the Company shall be at the address determined by the Board of Directors, and shall change from time to</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time.</w:t>
            </w:r>
          </w:p>
        </w:tc>
      </w:tr>
      <w:tr>
        <w:trPr>
          <w:trHeight w:val="392"/>
        </w:trPr>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The Articles of Incorporation</w:t>
            </w:r>
          </w:p>
        </w:tc>
        <w:tc>
          <w:tcPr>
            <w:tcW w:w="8960" w:type="dxa"/>
            <w:vAlign w:val="bottom"/>
          </w:tcPr>
          <w:p>
            <w:pPr>
              <w:spacing w:after="0"/>
              <w:rPr>
                <w:sz w:val="24"/>
                <w:szCs w:val="24"/>
                <w:color w:val="auto"/>
              </w:rPr>
            </w:pPr>
          </w:p>
        </w:tc>
      </w:tr>
      <w:tr>
        <w:trPr>
          <w:trHeight w:val="453"/>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rPr>
              <w:t>The Company shall be entitled to change these Articles by resolution of the general meeting by ordinary majority.</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w w:val="93"/>
              </w:rPr>
              <w:t>A resolution passed by the general meeting with the majority required for changing of the Articles, as stated in Clause 7 above,</w:t>
            </w:r>
          </w:p>
        </w:tc>
      </w:tr>
      <w:tr>
        <w:trPr>
          <w:trHeight w:val="216"/>
        </w:trPr>
        <w:tc>
          <w:tcPr>
            <w:tcW w:w="400" w:type="dxa"/>
            <w:vAlign w:val="bottom"/>
          </w:tcPr>
          <w:p>
            <w:pPr>
              <w:spacing w:after="0"/>
              <w:rPr>
                <w:sz w:val="18"/>
                <w:szCs w:val="18"/>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w w:val="91"/>
              </w:rPr>
              <w:t>which changes any of the provisions of these Articles, shall be deemed a resolution for the alteration of these Articles, even if this was not indicated</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expressly in the resolution.</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w w:val="90"/>
              </w:rPr>
              <w:t>Subject to provisions of The Companies Law, changes to these Articles shall be valid from the date of a passage of a resolution by</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the Company or another date determined in the resolution.</w:t>
            </w:r>
          </w:p>
        </w:tc>
      </w:tr>
      <w:tr>
        <w:trPr>
          <w:trHeight w:val="392"/>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Registered Share Capital</w:t>
            </w:r>
          </w:p>
        </w:tc>
        <w:tc>
          <w:tcPr>
            <w:tcW w:w="9300" w:type="dxa"/>
            <w:vAlign w:val="bottom"/>
            <w:gridSpan w:val="2"/>
          </w:tcPr>
          <w:p>
            <w:pPr>
              <w:spacing w:after="0"/>
              <w:rPr>
                <w:sz w:val="24"/>
                <w:szCs w:val="24"/>
                <w:color w:val="auto"/>
              </w:rPr>
            </w:pPr>
          </w:p>
        </w:tc>
      </w:tr>
      <w:tr>
        <w:trPr>
          <w:trHeight w:val="43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4"/>
          </w:tcPr>
          <w:p>
            <w:pPr>
              <w:ind w:left="540"/>
              <w:spacing w:after="0"/>
              <w:rPr>
                <w:sz w:val="20"/>
                <w:szCs w:val="20"/>
                <w:color w:val="auto"/>
              </w:rPr>
            </w:pPr>
            <w:r>
              <w:rPr>
                <w:rFonts w:ascii="Arial" w:cs="Arial" w:eastAsia="Arial" w:hAnsi="Arial"/>
                <w:sz w:val="18"/>
                <w:szCs w:val="18"/>
                <w:color w:val="auto"/>
                <w:w w:val="92"/>
              </w:rPr>
              <w:t>The registered share capital of the Company is NIS 2,400,000 divided into 60,000,000 ordinary shares of the nominal value of NIS</w:t>
            </w:r>
          </w:p>
        </w:tc>
      </w:tr>
      <w:tr>
        <w:trPr>
          <w:trHeight w:val="220"/>
        </w:trPr>
        <w:tc>
          <w:tcPr>
            <w:tcW w:w="400" w:type="dxa"/>
            <w:vAlign w:val="bottom"/>
          </w:tcPr>
          <w:p>
            <w:pPr>
              <w:spacing w:after="0"/>
              <w:rPr>
                <w:sz w:val="19"/>
                <w:szCs w:val="19"/>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w w:val="95"/>
              </w:rPr>
              <w:t xml:space="preserve">0.04 each (hereinafter- </w:t>
            </w:r>
            <w:r>
              <w:rPr>
                <w:rFonts w:ascii="Arial" w:cs="Arial" w:eastAsia="Arial" w:hAnsi="Arial"/>
                <w:sz w:val="18"/>
                <w:szCs w:val="18"/>
                <w:b w:val="1"/>
                <w:bCs w:val="1"/>
                <w:color w:val="auto"/>
                <w:w w:val="95"/>
              </w:rPr>
              <w:t>the ordinary shares</w:t>
            </w:r>
            <w:r>
              <w:rPr>
                <w:rFonts w:ascii="Arial" w:cs="Arial" w:eastAsia="Arial" w:hAnsi="Arial"/>
                <w:sz w:val="18"/>
                <w:szCs w:val="18"/>
                <w:color w:val="auto"/>
                <w:w w:val="95"/>
              </w:rPr>
              <w:t>). The Company is entitled to change the registered share capital subject to the provisions of The</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Companies Law and these Articles.</w:t>
            </w:r>
          </w:p>
        </w:tc>
      </w:tr>
      <w:tr>
        <w:trPr>
          <w:trHeight w:val="391"/>
        </w:trPr>
        <w:tc>
          <w:tcPr>
            <w:tcW w:w="11240" w:type="dxa"/>
            <w:vAlign w:val="bottom"/>
            <w:gridSpan w:val="7"/>
          </w:tcPr>
          <w:p>
            <w:pPr>
              <w:spacing w:after="0"/>
              <w:rPr>
                <w:sz w:val="20"/>
                <w:szCs w:val="20"/>
                <w:color w:val="auto"/>
              </w:rPr>
            </w:pPr>
            <w:r>
              <w:rPr>
                <w:rFonts w:ascii="Arial" w:cs="Arial" w:eastAsia="Arial" w:hAnsi="Arial"/>
                <w:sz w:val="18"/>
                <w:szCs w:val="18"/>
                <w:b w:val="1"/>
                <w:bCs w:val="1"/>
                <w:color w:val="auto"/>
              </w:rPr>
              <w:t>The Shares</w:t>
            </w:r>
          </w:p>
        </w:tc>
      </w:tr>
      <w:tr>
        <w:trPr>
          <w:trHeight w:val="438"/>
        </w:trPr>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4"/>
          </w:tcPr>
          <w:p>
            <w:pPr>
              <w:ind w:left="540"/>
              <w:spacing w:after="0"/>
              <w:rPr>
                <w:sz w:val="20"/>
                <w:szCs w:val="20"/>
                <w:color w:val="auto"/>
              </w:rPr>
            </w:pPr>
            <w:r>
              <w:rPr>
                <w:rFonts w:ascii="Arial" w:cs="Arial" w:eastAsia="Arial" w:hAnsi="Arial"/>
                <w:sz w:val="18"/>
                <w:szCs w:val="18"/>
                <w:color w:val="auto"/>
                <w:w w:val="91"/>
              </w:rPr>
              <w:t>Each ordinary share in the capital of the Company shall have equal rights, for all intents and purposes, to every other ordinary share,</w:t>
            </w:r>
          </w:p>
        </w:tc>
      </w:tr>
      <w:tr>
        <w:trPr>
          <w:trHeight w:val="230"/>
        </w:trPr>
        <w:tc>
          <w:tcPr>
            <w:tcW w:w="400" w:type="dxa"/>
            <w:vAlign w:val="bottom"/>
          </w:tcPr>
          <w:p>
            <w:pPr>
              <w:spacing w:after="0"/>
              <w:rPr>
                <w:sz w:val="20"/>
                <w:szCs w:val="20"/>
                <w:color w:val="auto"/>
              </w:rPr>
            </w:pPr>
          </w:p>
        </w:tc>
        <w:tc>
          <w:tcPr>
            <w:tcW w:w="10840" w:type="dxa"/>
            <w:vAlign w:val="bottom"/>
            <w:gridSpan w:val="6"/>
          </w:tcPr>
          <w:p>
            <w:pPr>
              <w:ind w:left="100"/>
              <w:spacing w:after="0"/>
              <w:rPr>
                <w:sz w:val="20"/>
                <w:szCs w:val="20"/>
                <w:color w:val="auto"/>
              </w:rPr>
            </w:pPr>
            <w:r>
              <w:rPr>
                <w:rFonts w:ascii="Arial" w:cs="Arial" w:eastAsia="Arial" w:hAnsi="Arial"/>
                <w:sz w:val="18"/>
                <w:szCs w:val="18"/>
                <w:color w:val="auto"/>
              </w:rPr>
              <w:t>including the rights to dividend, bonus shares</w:t>
            </w:r>
          </w:p>
        </w:tc>
      </w:tr>
      <w:tr>
        <w:trPr>
          <w:trHeight w:val="891"/>
        </w:trPr>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89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92" w:right="339" w:bottom="1440" w:gutter="0" w:footer="0" w:header="0"/>
        </w:sectPr>
      </w:pPr>
    </w:p>
    <w:bookmarkStart w:id="191" w:name="page192"/>
    <w:bookmarkEnd w:id="191"/>
    <w:p>
      <w:pPr>
        <w:ind w:left="500" w:right="20"/>
        <w:spacing w:after="0" w:line="277" w:lineRule="auto"/>
        <w:rPr>
          <w:sz w:val="20"/>
          <w:szCs w:val="20"/>
          <w:color w:val="auto"/>
        </w:rPr>
      </w:pPr>
      <w:r>
        <w:rPr>
          <w:rFonts w:ascii="Arial" w:cs="Arial" w:eastAsia="Arial" w:hAnsi="Arial"/>
          <w:sz w:val="18"/>
          <w:szCs w:val="18"/>
          <w:color w:val="auto"/>
        </w:rPr>
        <w:t>and participation in distribution of surplus assets of the Company upon liquidation, proportionally to the nominal value of each share, without taking into account any premium paid thereupon, and all subject to the provisions of these Articles.</w:t>
      </w:r>
    </w:p>
    <w:p>
      <w:pPr>
        <w:spacing w:after="0" w:line="17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Each one of the ordinary shares entitles its owner to participate in the general meeting of the Company and to one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jc w:val="both"/>
        <w:ind w:left="500" w:right="100" w:hanging="494"/>
        <w:spacing w:after="0" w:line="263" w:lineRule="auto"/>
        <w:tabs>
          <w:tab w:leader="none" w:pos="480" w:val="left"/>
        </w:tabs>
        <w:rPr>
          <w:sz w:val="20"/>
          <w:szCs w:val="20"/>
          <w:color w:val="auto"/>
        </w:rPr>
      </w:pPr>
      <w:r>
        <w:rPr>
          <w:rFonts w:ascii="Arial" w:cs="Arial" w:eastAsia="Arial" w:hAnsi="Arial"/>
          <w:sz w:val="18"/>
          <w:szCs w:val="18"/>
          <w:color w:val="auto"/>
        </w:rPr>
        <w:t>13.1.</w:t>
        <w:tab/>
        <w:t>A shareholder in the Company is the party registered as the shareholder in the registry of shareholders or whomever a share is registered in his favor with a stock exchange member, and such share is included in the registered shares in the registry of shareholders of the Company in the name of a company for registration.</w:t>
      </w:r>
    </w:p>
    <w:p>
      <w:pPr>
        <w:spacing w:after="0" w:line="184" w:lineRule="exact"/>
        <w:rPr>
          <w:sz w:val="20"/>
          <w:szCs w:val="20"/>
          <w:color w:val="auto"/>
        </w:rPr>
      </w:pPr>
    </w:p>
    <w:p>
      <w:pPr>
        <w:ind w:left="500" w:right="20"/>
        <w:spacing w:after="0" w:line="270" w:lineRule="auto"/>
        <w:rPr>
          <w:sz w:val="20"/>
          <w:szCs w:val="20"/>
          <w:color w:val="auto"/>
        </w:rPr>
      </w:pPr>
      <w:r>
        <w:rPr>
          <w:rFonts w:ascii="Arial" w:cs="Arial" w:eastAsia="Arial" w:hAnsi="Arial"/>
          <w:sz w:val="17"/>
          <w:szCs w:val="17"/>
          <w:color w:val="auto"/>
        </w:rPr>
        <w:t>A shareholder who is a trustee will report thereupon to the Company, and the Company shall record him in the registry of shareholders, with indication of his trust, and he shall be viewed for purposes of The Companies Law as a shareholder. Without detracting from that stated above, and subject to the provisions of the Articles of the Company, the Company shall recognize a trustee as stated, as a shareholder for all intends and purposes, and shall not recognize some other person, including the beneficiary, as the holder of any rights in the share. Without detracting from that stated above, and subject to the provisions of the Articles of the Company, with the exception of shareholders of the Company as stated, no person shall be recognized by the Company as having any rights in a share and the Company shall not be bound and shall not recognize any benefits under the laws of equity or in the relations of trust or in a proper right, future or partial, in any share or benefit whatsoever in a fractional share or in any other right with regards to a share, rather solely and exclusively the right of the shareholder as stated above, in the share in its entirety, and all save if a competent court has directed otherwise.</w:t>
      </w:r>
    </w:p>
    <w:p>
      <w:pPr>
        <w:spacing w:after="0" w:line="181" w:lineRule="exact"/>
        <w:rPr>
          <w:sz w:val="20"/>
          <w:szCs w:val="20"/>
          <w:color w:val="auto"/>
        </w:rPr>
      </w:pPr>
    </w:p>
    <w:p>
      <w:pPr>
        <w:ind w:left="500" w:hanging="494"/>
        <w:spacing w:after="0" w:line="275" w:lineRule="auto"/>
        <w:tabs>
          <w:tab w:leader="none" w:pos="4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Without detracting from that stated above, and subject to the provisions of these Articles, with the exception of shareholders of the Company as stated in Clause 13.1 above, no person shall be recognized by the Company as having any right in a share and the Company shall not be bound and shall not recognize any benefits under the laws of equity or the relations of trust or a proper right, future or partial, in any share or benefits, in a fractional share or any other right with regard to a share, but rather solely and exclusively the right of the shareholder as stated in Clause 13.1 above, in a share in its entirety and all save if a competent court has directed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Certificates</w:t>
      </w:r>
    </w:p>
    <w:p>
      <w:pPr>
        <w:spacing w:after="0" w:line="229" w:lineRule="exact"/>
        <w:rPr>
          <w:sz w:val="20"/>
          <w:szCs w:val="20"/>
          <w:color w:val="auto"/>
        </w:rPr>
      </w:pPr>
    </w:p>
    <w:p>
      <w:pPr>
        <w:jc w:val="both"/>
        <w:ind w:left="500" w:right="460" w:hanging="494"/>
        <w:spacing w:after="0" w:line="263" w:lineRule="auto"/>
        <w:tabs>
          <w:tab w:leader="none" w:pos="480" w:val="left"/>
        </w:tabs>
        <w:rPr>
          <w:sz w:val="20"/>
          <w:szCs w:val="20"/>
          <w:color w:val="auto"/>
        </w:rPr>
      </w:pPr>
      <w:r>
        <w:rPr>
          <w:rFonts w:ascii="Arial" w:cs="Arial" w:eastAsia="Arial" w:hAnsi="Arial"/>
          <w:sz w:val="18"/>
          <w:szCs w:val="18"/>
          <w:color w:val="auto"/>
        </w:rPr>
        <w:t>14.</w:t>
        <w:tab/>
        <w:t>The certificates testifying to the right of ownership in the shares shall bear the stamp of the Company and the signatures of one director together with the CEO of the Company or together with the Secretary of the Company or the signatures of any two persons who were appointed for this purpose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43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2" w:name="page193"/>
    <w:bookmarkEnd w:id="192"/>
    <w:p>
      <w:pPr>
        <w:ind w:left="500" w:right="60"/>
        <w:spacing w:after="0" w:line="277" w:lineRule="auto"/>
        <w:rPr>
          <w:sz w:val="20"/>
          <w:szCs w:val="20"/>
          <w:color w:val="auto"/>
        </w:rPr>
      </w:pPr>
      <w:r>
        <w:rPr>
          <w:rFonts w:ascii="Arial" w:cs="Arial" w:eastAsia="Arial" w:hAnsi="Arial"/>
          <w:sz w:val="18"/>
          <w:szCs w:val="18"/>
          <w:color w:val="auto"/>
        </w:rPr>
        <w:t>The Board of Directors is entitled to decide that a signature or stamp as stated shall be carried out mechanically, as shall be determined by the Board of Directors.</w:t>
      </w:r>
    </w:p>
    <w:p>
      <w:pPr>
        <w:spacing w:after="0" w:line="17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Unless the terms of the issue of shares determine otherwise:</w:t>
      </w:r>
    </w:p>
    <w:p>
      <w:pPr>
        <w:spacing w:after="0" w:line="225" w:lineRule="exact"/>
        <w:rPr>
          <w:sz w:val="20"/>
          <w:szCs w:val="20"/>
          <w:color w:val="auto"/>
        </w:rPr>
      </w:pPr>
    </w:p>
    <w:p>
      <w:pPr>
        <w:ind w:left="500" w:right="40" w:hanging="494"/>
        <w:spacing w:after="0" w:line="263" w:lineRule="auto"/>
        <w:tabs>
          <w:tab w:leader="none" w:pos="480" w:val="left"/>
        </w:tabs>
        <w:rPr>
          <w:sz w:val="20"/>
          <w:szCs w:val="20"/>
          <w:color w:val="auto"/>
        </w:rPr>
      </w:pPr>
      <w:r>
        <w:rPr>
          <w:rFonts w:ascii="Arial" w:cs="Arial" w:eastAsia="Arial" w:hAnsi="Arial"/>
          <w:sz w:val="18"/>
          <w:szCs w:val="18"/>
          <w:color w:val="auto"/>
        </w:rPr>
        <w:t>15.1.</w:t>
        <w:tab/>
        <w:t>Every registered shareholder is entitled to receive from the Company at his request within a period of two months after the allotment, or registration of the transfer, as the case may be, one certificate testifying to his ownership in shares which are registered in his name or, at the consent of the Company, a number of certificates as stated.</w:t>
      </w:r>
    </w:p>
    <w:p>
      <w:pPr>
        <w:spacing w:after="0" w:line="184" w:lineRule="exact"/>
        <w:rPr>
          <w:sz w:val="20"/>
          <w:szCs w:val="20"/>
          <w:color w:val="auto"/>
        </w:rPr>
      </w:pPr>
    </w:p>
    <w:p>
      <w:pPr>
        <w:jc w:val="both"/>
        <w:ind w:left="500" w:right="180" w:hanging="494"/>
        <w:spacing w:after="0" w:line="263" w:lineRule="auto"/>
        <w:tabs>
          <w:tab w:leader="none" w:pos="480" w:val="left"/>
        </w:tabs>
        <w:rPr>
          <w:sz w:val="20"/>
          <w:szCs w:val="20"/>
          <w:color w:val="auto"/>
        </w:rPr>
      </w:pPr>
      <w:r>
        <w:rPr>
          <w:rFonts w:ascii="Arial" w:cs="Arial" w:eastAsia="Arial" w:hAnsi="Arial"/>
          <w:sz w:val="18"/>
          <w:szCs w:val="18"/>
          <w:color w:val="auto"/>
        </w:rPr>
        <w:t>15.2.</w:t>
        <w:tab/>
        <w:t>A registration Company is entitled to receive from the Company, at its request, within a period of two months after the allotment, or the registration of the transfer, as the case may be, one certificate testifying to the number of shares and the type of shares registered in its name at the registry of shareholders.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w w:val="90"/>
              </w:rPr>
              <w:t>Subject to the provisions of The Companies Law, in each certificate shall be specified the number of shares in respect of which it was</w:t>
            </w:r>
          </w:p>
        </w:tc>
      </w:tr>
      <w:tr>
        <w:trPr>
          <w:trHeight w:val="230"/>
        </w:trPr>
        <w:tc>
          <w:tcPr>
            <w:tcW w:w="360" w:type="dxa"/>
            <w:vAlign w:val="bottom"/>
          </w:tcPr>
          <w:p>
            <w:pPr>
              <w:spacing w:after="0"/>
              <w:rPr>
                <w:sz w:val="20"/>
                <w:szCs w:val="20"/>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rPr>
              <w:t>issued, their serial numbers and their nominal value.</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w w:val="92"/>
              </w:rPr>
              <w:t>A certificate referring to a share registered in the name of two or more persons, shall be delivered to whomever shall appear first in</w:t>
            </w:r>
          </w:p>
        </w:tc>
      </w:tr>
      <w:tr>
        <w:trPr>
          <w:trHeight w:val="216"/>
        </w:trPr>
        <w:tc>
          <w:tcPr>
            <w:tcW w:w="360" w:type="dxa"/>
            <w:vAlign w:val="bottom"/>
          </w:tcPr>
          <w:p>
            <w:pPr>
              <w:spacing w:after="0"/>
              <w:rPr>
                <w:sz w:val="18"/>
                <w:szCs w:val="18"/>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w w:val="91"/>
              </w:rPr>
              <w:t>the registry of shareholders with regard to such share, save if all of the shareholders registered upon such share shall direct the Company in writing,</w:t>
            </w:r>
          </w:p>
        </w:tc>
      </w:tr>
      <w:tr>
        <w:trPr>
          <w:trHeight w:val="230"/>
        </w:trPr>
        <w:tc>
          <w:tcPr>
            <w:tcW w:w="360" w:type="dxa"/>
            <w:vAlign w:val="bottom"/>
          </w:tcPr>
          <w:p>
            <w:pPr>
              <w:spacing w:after="0"/>
              <w:rPr>
                <w:sz w:val="20"/>
                <w:szCs w:val="20"/>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rPr>
              <w:t>to deliver it to some other registered owner.</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w w:val="90"/>
              </w:rPr>
              <w:t>In the event that a share certificate shall be defaced, ruined, lost or harmed, the Board of Directors is entitled to direct its cancellation</w:t>
            </w:r>
          </w:p>
        </w:tc>
      </w:tr>
      <w:tr>
        <w:trPr>
          <w:trHeight w:val="216"/>
        </w:trPr>
        <w:tc>
          <w:tcPr>
            <w:tcW w:w="360" w:type="dxa"/>
            <w:vAlign w:val="bottom"/>
          </w:tcPr>
          <w:p>
            <w:pPr>
              <w:spacing w:after="0"/>
              <w:rPr>
                <w:sz w:val="18"/>
                <w:szCs w:val="18"/>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w w:val="92"/>
              </w:rPr>
              <w:t>and the issue of a new certificate in its stead. This, provided that the share certificate was produced to the Company and destroyed by it, or it was</w:t>
            </w:r>
          </w:p>
        </w:tc>
      </w:tr>
      <w:tr>
        <w:trPr>
          <w:trHeight w:val="216"/>
        </w:trPr>
        <w:tc>
          <w:tcPr>
            <w:tcW w:w="360" w:type="dxa"/>
            <w:vAlign w:val="bottom"/>
          </w:tcPr>
          <w:p>
            <w:pPr>
              <w:spacing w:after="0"/>
              <w:rPr>
                <w:sz w:val="18"/>
                <w:szCs w:val="18"/>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w w:val="90"/>
              </w:rPr>
              <w:t>proven to the satisfaction of the Board of Directors that the certificate was lost or destroyed and the Company received a guarantee to the satisfaction</w:t>
            </w:r>
          </w:p>
        </w:tc>
      </w:tr>
      <w:tr>
        <w:trPr>
          <w:trHeight w:val="216"/>
        </w:trPr>
        <w:tc>
          <w:tcPr>
            <w:tcW w:w="360" w:type="dxa"/>
            <w:vAlign w:val="bottom"/>
          </w:tcPr>
          <w:p>
            <w:pPr>
              <w:spacing w:after="0"/>
              <w:rPr>
                <w:sz w:val="18"/>
                <w:szCs w:val="18"/>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w w:val="93"/>
              </w:rPr>
              <w:t>of the Board of Directors in respect of any possible damage. A reasonable amount as shall be determined by the Board of Directors from time to</w:t>
            </w:r>
          </w:p>
        </w:tc>
      </w:tr>
      <w:tr>
        <w:trPr>
          <w:trHeight w:val="230"/>
        </w:trPr>
        <w:tc>
          <w:tcPr>
            <w:tcW w:w="360" w:type="dxa"/>
            <w:vAlign w:val="bottom"/>
          </w:tcPr>
          <w:p>
            <w:pPr>
              <w:spacing w:after="0"/>
              <w:rPr>
                <w:sz w:val="20"/>
                <w:szCs w:val="20"/>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rPr>
              <w:t>time shall be paid for every share certificate issued under this clause.</w:t>
            </w:r>
          </w:p>
        </w:tc>
      </w:tr>
      <w:tr>
        <w:trPr>
          <w:trHeight w:val="391"/>
        </w:trPr>
        <w:tc>
          <w:tcPr>
            <w:tcW w:w="11240" w:type="dxa"/>
            <w:vAlign w:val="bottom"/>
            <w:gridSpan w:val="4"/>
          </w:tcPr>
          <w:p>
            <w:pPr>
              <w:spacing w:after="0"/>
              <w:rPr>
                <w:sz w:val="20"/>
                <w:szCs w:val="20"/>
                <w:color w:val="auto"/>
              </w:rPr>
            </w:pPr>
            <w:r>
              <w:rPr>
                <w:rFonts w:ascii="Arial" w:cs="Arial" w:eastAsia="Arial" w:hAnsi="Arial"/>
                <w:sz w:val="18"/>
                <w:szCs w:val="18"/>
                <w:b w:val="1"/>
                <w:bCs w:val="1"/>
                <w:color w:val="auto"/>
              </w:rPr>
              <w:t>Payment for Shares</w:t>
            </w:r>
          </w:p>
        </w:tc>
      </w:tr>
      <w:tr>
        <w:trPr>
          <w:trHeight w:val="453"/>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19.</w:t>
            </w: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rPr>
              <w:t>All of these shares in the issued capital of the Company, shall be shares which were discharged in full.</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20.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20" w:type="dxa"/>
            <w:vAlign w:val="bottom"/>
          </w:tcPr>
          <w:p>
            <w:pPr>
              <w:ind w:left="100"/>
              <w:spacing w:after="0"/>
              <w:rPr>
                <w:sz w:val="20"/>
                <w:szCs w:val="20"/>
                <w:color w:val="auto"/>
              </w:rPr>
            </w:pPr>
            <w:r>
              <w:rPr>
                <w:rFonts w:ascii="Arial" w:cs="Arial" w:eastAsia="Arial" w:hAnsi="Arial"/>
                <w:sz w:val="18"/>
                <w:szCs w:val="18"/>
                <w:b w:val="1"/>
                <w:bCs w:val="1"/>
                <w:color w:val="auto"/>
              </w:rPr>
              <w:t>Canceled.</w:t>
            </w:r>
          </w:p>
        </w:tc>
      </w:tr>
      <w:tr>
        <w:trPr>
          <w:trHeight w:val="391"/>
        </w:trPr>
        <w:tc>
          <w:tcPr>
            <w:tcW w:w="11240" w:type="dxa"/>
            <w:vAlign w:val="bottom"/>
            <w:gridSpan w:val="4"/>
          </w:tcPr>
          <w:p>
            <w:pPr>
              <w:spacing w:after="0"/>
              <w:rPr>
                <w:sz w:val="20"/>
                <w:szCs w:val="20"/>
                <w:color w:val="auto"/>
              </w:rPr>
            </w:pPr>
            <w:r>
              <w:rPr>
                <w:rFonts w:ascii="Arial" w:cs="Arial" w:eastAsia="Arial" w:hAnsi="Arial"/>
                <w:sz w:val="18"/>
                <w:szCs w:val="18"/>
                <w:b w:val="1"/>
                <w:bCs w:val="1"/>
                <w:color w:val="auto"/>
              </w:rPr>
              <w:t>Transfer of Shares</w:t>
            </w:r>
          </w:p>
        </w:tc>
      </w:tr>
      <w:tr>
        <w:trPr>
          <w:trHeight w:val="438"/>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w w:val="93"/>
              </w:rPr>
              <w:t>Every transfer of shares which are registered in the registry of shareholders in the name of the registered shareholder, including a</w:t>
            </w:r>
          </w:p>
        </w:tc>
      </w:tr>
      <w:tr>
        <w:trPr>
          <w:trHeight w:val="216"/>
        </w:trPr>
        <w:tc>
          <w:tcPr>
            <w:tcW w:w="360" w:type="dxa"/>
            <w:vAlign w:val="bottom"/>
          </w:tcPr>
          <w:p>
            <w:pPr>
              <w:spacing w:after="0"/>
              <w:rPr>
                <w:sz w:val="18"/>
                <w:szCs w:val="18"/>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w w:val="96"/>
              </w:rPr>
              <w:t>transfer by a company for registration or to it, shall be in writing and provided that the Deed of Transfer shall be signed by hand only, by the</w:t>
            </w:r>
          </w:p>
        </w:tc>
      </w:tr>
      <w:tr>
        <w:trPr>
          <w:trHeight w:val="230"/>
        </w:trPr>
        <w:tc>
          <w:tcPr>
            <w:tcW w:w="360" w:type="dxa"/>
            <w:vAlign w:val="bottom"/>
          </w:tcPr>
          <w:p>
            <w:pPr>
              <w:spacing w:after="0"/>
              <w:rPr>
                <w:sz w:val="20"/>
                <w:szCs w:val="20"/>
                <w:color w:val="auto"/>
              </w:rPr>
            </w:pPr>
          </w:p>
        </w:tc>
        <w:tc>
          <w:tcPr>
            <w:tcW w:w="10880" w:type="dxa"/>
            <w:vAlign w:val="bottom"/>
            <w:gridSpan w:val="3"/>
          </w:tcPr>
          <w:p>
            <w:pPr>
              <w:ind w:left="140"/>
              <w:spacing w:after="0"/>
              <w:rPr>
                <w:sz w:val="20"/>
                <w:szCs w:val="20"/>
                <w:color w:val="auto"/>
              </w:rPr>
            </w:pPr>
            <w:r>
              <w:rPr>
                <w:rFonts w:ascii="Arial" w:cs="Arial" w:eastAsia="Arial" w:hAnsi="Arial"/>
                <w:sz w:val="18"/>
                <w:szCs w:val="18"/>
                <w:color w:val="auto"/>
              </w:rPr>
              <w:t>transferor and by the transferee, by themselves or by their legal representatives,</w:t>
            </w:r>
          </w:p>
        </w:tc>
      </w:tr>
      <w:tr>
        <w:trPr>
          <w:trHeight w:val="891"/>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7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and by witnesses to their signature, and shall be delivered to the registered office or to any other place determined by the Board of Directors for this.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Subject to the provisions of The Companies Law, the transfer of shares shall not be recorded in the registry of shareholders save after a Deed of</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89"/>
              </w:rPr>
              <w:t>Transfer has been delivered to the Company as stated above: The transferor shall continue to be deemed the owner of the transferred shares until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registration of the transferee as the owner of the transferred shares in the registry of shareholders.</w:t>
            </w:r>
          </w:p>
        </w:tc>
      </w:tr>
      <w:tr>
        <w:trPr>
          <w:trHeight w:val="418"/>
        </w:trPr>
        <w:tc>
          <w:tcPr>
            <w:tcW w:w="360" w:type="dxa"/>
            <w:vAlign w:val="bottom"/>
          </w:tcPr>
          <w:p>
            <w:pPr>
              <w:spacing w:after="0"/>
              <w:rPr>
                <w:sz w:val="24"/>
                <w:szCs w:val="24"/>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The registry of shareholders shall constitute prima facie evidence to the veracity of its content. In an instance of contradiction between that recorded</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in the registry of shareholders and a share certificate, the evidentiary value of the Registry of Shareholders is superior to the evidentiary value of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share certificate.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22.</w:t>
            </w:r>
          </w:p>
        </w:tc>
        <w:tc>
          <w:tcPr>
            <w:tcW w:w="10880" w:type="dxa"/>
            <w:vAlign w:val="bottom"/>
          </w:tcPr>
          <w:p>
            <w:pPr>
              <w:ind w:left="1260"/>
              <w:spacing w:after="0"/>
              <w:rPr>
                <w:sz w:val="20"/>
                <w:szCs w:val="20"/>
                <w:color w:val="auto"/>
              </w:rPr>
            </w:pPr>
            <w:r>
              <w:rPr>
                <w:rFonts w:ascii="Arial" w:cs="Arial" w:eastAsia="Arial" w:hAnsi="Arial"/>
                <w:sz w:val="18"/>
                <w:szCs w:val="18"/>
                <w:color w:val="auto"/>
                <w:w w:val="95"/>
              </w:rPr>
              <w:t>The Share Transfer Deed will be made in writing, in the form customary in Israel or in any other form approved by the Board of</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Directors. To such extent as the transferor or the transferee is a corporation, a confirmation by an attorney or an accountant or some other person</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whose identity is acceptable to the Board of Directors shall be given regarding the authority of the signatories in the name of the corporation to carry</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out or to receive the transfer, as the case may be.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23.</w:t>
            </w:r>
          </w:p>
        </w:tc>
        <w:tc>
          <w:tcPr>
            <w:tcW w:w="10880" w:type="dxa"/>
            <w:vAlign w:val="bottom"/>
          </w:tcPr>
          <w:p>
            <w:pPr>
              <w:ind w:left="1260"/>
              <w:spacing w:after="0"/>
              <w:rPr>
                <w:sz w:val="20"/>
                <w:szCs w:val="20"/>
                <w:color w:val="auto"/>
              </w:rPr>
            </w:pPr>
            <w:r>
              <w:rPr>
                <w:rFonts w:ascii="Arial" w:cs="Arial" w:eastAsia="Arial" w:hAnsi="Arial"/>
                <w:sz w:val="18"/>
                <w:szCs w:val="18"/>
                <w:color w:val="auto"/>
                <w:w w:val="97"/>
              </w:rPr>
              <w:t>The Company is entitled to close the Registry of Shareholders for a period of time determined by the Board of Directors and</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provided that it shall not exceed, in total, 30 days each year. When the registry is closed, transfer of shares shall not be recorded in the registry.</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Without the detracting from that stated above, the Board of Directors is entitled to determine a determining date with regard to the right to vote in a</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general meeting, or to receive payment of dividend or allotment of rights whatsoever or for any other legal purpose.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24.</w:t>
            </w:r>
          </w:p>
        </w:tc>
        <w:tc>
          <w:tcPr>
            <w:tcW w:w="10880" w:type="dxa"/>
            <w:vAlign w:val="bottom"/>
          </w:tcPr>
          <w:p>
            <w:pPr>
              <w:ind w:left="1260"/>
              <w:spacing w:after="0"/>
              <w:rPr>
                <w:sz w:val="20"/>
                <w:szCs w:val="20"/>
                <w:color w:val="auto"/>
              </w:rPr>
            </w:pPr>
            <w:r>
              <w:rPr>
                <w:rFonts w:ascii="Arial" w:cs="Arial" w:eastAsia="Arial" w:hAnsi="Arial"/>
                <w:sz w:val="18"/>
                <w:szCs w:val="18"/>
                <w:color w:val="auto"/>
                <w:w w:val="90"/>
              </w:rPr>
              <w:t>Subject to the provisions of these Articles or the terms of the issue of shares of any type, shared transfer shall be possible without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need for Board of Directors approval.</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25.</w:t>
            </w:r>
          </w:p>
        </w:tc>
        <w:tc>
          <w:tcPr>
            <w:tcW w:w="10880" w:type="dxa"/>
            <w:vAlign w:val="bottom"/>
          </w:tcPr>
          <w:p>
            <w:pPr>
              <w:ind w:left="1260"/>
              <w:spacing w:after="0"/>
              <w:rPr>
                <w:sz w:val="20"/>
                <w:szCs w:val="20"/>
                <w:color w:val="auto"/>
              </w:rPr>
            </w:pPr>
            <w:r>
              <w:rPr>
                <w:rFonts w:ascii="Arial" w:cs="Arial" w:eastAsia="Arial" w:hAnsi="Arial"/>
                <w:sz w:val="18"/>
                <w:szCs w:val="18"/>
                <w:color w:val="auto"/>
                <w:w w:val="96"/>
              </w:rPr>
              <w:t>Every transfer deed shall be submitted to the office or to any other place as shall be determined by the Board of Directors, for</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registration, together with the certificates of the shares to be transferred, if these were issued, and all other proof required by the Board of Directors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regarding the right of ownership of the transferor or his right to transfer the shares. The transfer deeds which shall be recorded shall remain with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Company; however, any transfer deed which the Board of Directors refused to record will be returned to the party who submitted it, at its request.</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26.</w:t>
            </w:r>
          </w:p>
        </w:tc>
        <w:tc>
          <w:tcPr>
            <w:tcW w:w="10880" w:type="dxa"/>
            <w:vAlign w:val="bottom"/>
          </w:tcPr>
          <w:p>
            <w:pPr>
              <w:ind w:left="1260"/>
              <w:spacing w:after="0"/>
              <w:rPr>
                <w:sz w:val="20"/>
                <w:szCs w:val="20"/>
                <w:color w:val="auto"/>
              </w:rPr>
            </w:pPr>
            <w:r>
              <w:rPr>
                <w:rFonts w:ascii="Arial" w:cs="Arial" w:eastAsia="Arial" w:hAnsi="Arial"/>
                <w:sz w:val="18"/>
                <w:szCs w:val="18"/>
                <w:color w:val="auto"/>
                <w:w w:val="91"/>
              </w:rPr>
              <w:t>In the event that the Board of Directors refuses to approve the transfer of shares, it shall notify the transferor no later than one month</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from the date of receiving of the transfer deed.</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27.</w:t>
            </w:r>
          </w:p>
        </w:tc>
        <w:tc>
          <w:tcPr>
            <w:tcW w:w="10880" w:type="dxa"/>
            <w:vAlign w:val="bottom"/>
          </w:tcPr>
          <w:p>
            <w:pPr>
              <w:ind w:left="1260"/>
              <w:spacing w:after="0"/>
              <w:rPr>
                <w:sz w:val="20"/>
                <w:szCs w:val="20"/>
                <w:color w:val="auto"/>
              </w:rPr>
            </w:pPr>
            <w:r>
              <w:rPr>
                <w:rFonts w:ascii="Arial" w:cs="Arial" w:eastAsia="Arial" w:hAnsi="Arial"/>
                <w:sz w:val="18"/>
                <w:szCs w:val="18"/>
                <w:color w:val="auto"/>
                <w:w w:val="92"/>
              </w:rPr>
              <w:t>The Company shall be entitled to collect payment for recording of the transfer, in an amount determined by the Board of Directors,</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from time to time, and which shall be reasonable in the circumstances of the matter.</w:t>
            </w:r>
          </w:p>
        </w:tc>
      </w:tr>
      <w:tr>
        <w:trPr>
          <w:trHeight w:val="891"/>
        </w:trPr>
        <w:tc>
          <w:tcPr>
            <w:tcW w:w="360" w:type="dxa"/>
            <w:vAlign w:val="bottom"/>
          </w:tcPr>
          <w:p>
            <w:pPr>
              <w:spacing w:after="0"/>
              <w:rPr>
                <w:sz w:val="24"/>
                <w:szCs w:val="24"/>
                <w:color w:val="auto"/>
              </w:rPr>
            </w:pPr>
          </w:p>
        </w:tc>
        <w:tc>
          <w:tcPr>
            <w:tcW w:w="1088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10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134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28.1</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2"/>
              </w:rPr>
              <w:t>Subject to the provisions of The Companies Law and these Articles. If it was proven to the Company to the satisfaction of the Board of</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4"/>
              </w:rPr>
              <w:t>Directors in a manner determined by it, that the conditions required at Law were fulfilled for the assignment of the rights in the shares which are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89"/>
              </w:rPr>
              <w:t>registered in the registry in the name of a registered shareholder, the Company shall recognize the assignee, and him alone, as the holder of the rights</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in the shares as mentioned.</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28.2</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1"/>
              </w:rPr>
              <w:t>Notwithstanding that stated above, in an instance of the death of one or more of the registered joint owners of shares registered in their</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0"/>
              </w:rPr>
              <w:t>name in the registry, the Company shall recognize the registered owners who remain alive, solely, as the holders of ownership rights in such shares.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1340" w:type="dxa"/>
            <w:vAlign w:val="bottom"/>
          </w:tcPr>
          <w:p>
            <w:pPr>
              <w:spacing w:after="0"/>
              <w:rPr>
                <w:sz w:val="24"/>
                <w:szCs w:val="24"/>
                <w:color w:val="auto"/>
              </w:rPr>
            </w:pPr>
          </w:p>
        </w:tc>
        <w:tc>
          <w:tcPr>
            <w:tcW w:w="948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29.1</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5"/>
              </w:rPr>
              <w:t>Subject to the provisions of these Articles, the Company shall change the registration of ownership in the shares in the Registry of</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6"/>
              </w:rPr>
              <w:t>Shareholders upon receipt of an order of a court to amend the registry or if it was proven to the Company, to the satisfaction of the Board of</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Directors and in a manner determined by it, that the conditions at Law for the assignment of the rights in the shares were fulfilled, and the Company</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shall not recognize any right of a person in the shares, prior to the proof of his right, as stated above.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29.2</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1"/>
              </w:rPr>
              <w:t>Without detracting from that stated above, the Board of Directors is entitled to refuse to perform the registration or to delay it, as it shall</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be entitled to do, in the event that the registered owner himself shall have transferred the shares prior to the assignment of the right.</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1"/>
              </w:rPr>
              <w:t>Subject to the provisions of The Companies Law and these Articles, a person who became entitled to a share as stated in Clause 28</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0"/>
              </w:rPr>
              <w:t>above, shall be entitled to carry out a transfer of the shares similar to the right to do so of the registered owner, himself, prior to the assignment of the</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right.</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2"/>
              </w:rPr>
              <w:t>The Company is entitled to destroy a share transfer deed at the expiry of seven years from the date of the recording in the registry,</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7"/>
              </w:rPr>
              <w:t>and to destroy Certificate of Shares which were canceled, at the expiry of seven years from the date of their cancellation, and a prima facie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7"/>
              </w:rPr>
              <w:t>presumption shall exist that any deed of transfer and certificates which was destroyed as mentioned, was fully valid and that the transfers,</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cancellations and registrations as the case may be were carried out at Law.</w:t>
            </w:r>
          </w:p>
        </w:tc>
      </w:tr>
      <w:tr>
        <w:trPr>
          <w:trHeight w:val="391"/>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Changes in the Capital</w:t>
            </w:r>
          </w:p>
        </w:tc>
      </w:tr>
      <w:tr>
        <w:trPr>
          <w:trHeight w:val="20"/>
        </w:trPr>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438"/>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4"/>
              </w:rPr>
              <w:t>The Company is entitled, in a resolution passed by the general meeting, in an ordinary majority, to increase the registered share</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capital of the Company and/or to create additional classes of shares in the capital of the Company, and all as it shall determine.</w:t>
            </w:r>
          </w:p>
        </w:tc>
      </w:tr>
      <w:tr>
        <w:trPr>
          <w:trHeight w:val="89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8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94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10820" w:type="dxa"/>
            <w:vAlign w:val="bottom"/>
          </w:tcPr>
          <w:p>
            <w:pPr>
              <w:ind w:left="1200"/>
              <w:spacing w:after="0"/>
              <w:rPr>
                <w:sz w:val="20"/>
                <w:szCs w:val="20"/>
                <w:color w:val="auto"/>
              </w:rPr>
            </w:pPr>
            <w:r>
              <w:rPr>
                <w:rFonts w:ascii="Arial" w:cs="Arial" w:eastAsia="Arial" w:hAnsi="Arial"/>
                <w:sz w:val="18"/>
                <w:szCs w:val="18"/>
                <w:color w:val="auto"/>
                <w:w w:val="95"/>
              </w:rPr>
              <w:t>Subject to the provisions of The Companies Law, the Company is entitled, in a resolution passed by the general meeting in an</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ordinary majority:</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33.1</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To merge its shares, in whole or in part, and to divide them to shares with higher nominal values than the nominal value of the existing</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shares.</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33.2</w:t>
            </w:r>
          </w:p>
        </w:tc>
        <w:tc>
          <w:tcPr>
            <w:tcW w:w="10820" w:type="dxa"/>
            <w:vAlign w:val="bottom"/>
          </w:tcPr>
          <w:p>
            <w:pPr>
              <w:ind w:left="980"/>
              <w:spacing w:after="0"/>
              <w:rPr>
                <w:sz w:val="20"/>
                <w:szCs w:val="20"/>
                <w:color w:val="auto"/>
              </w:rPr>
            </w:pPr>
            <w:r>
              <w:rPr>
                <w:rFonts w:ascii="Arial" w:cs="Arial" w:eastAsia="Arial" w:hAnsi="Arial"/>
                <w:sz w:val="18"/>
                <w:szCs w:val="18"/>
                <w:color w:val="auto"/>
                <w:w w:val="91"/>
              </w:rPr>
              <w:t>To divide its shares, in whole or in part, a secondary division, to shares with lower nominal values than the nominal value of the existing</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shares.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33.3</w:t>
            </w:r>
          </w:p>
        </w:tc>
        <w:tc>
          <w:tcPr>
            <w:tcW w:w="10820" w:type="dxa"/>
            <w:vAlign w:val="bottom"/>
          </w:tcPr>
          <w:p>
            <w:pPr>
              <w:ind w:left="980"/>
              <w:spacing w:after="0"/>
              <w:rPr>
                <w:sz w:val="20"/>
                <w:szCs w:val="20"/>
                <w:color w:val="auto"/>
              </w:rPr>
            </w:pPr>
            <w:r>
              <w:rPr>
                <w:rFonts w:ascii="Arial" w:cs="Arial" w:eastAsia="Arial" w:hAnsi="Arial"/>
                <w:sz w:val="18"/>
                <w:szCs w:val="18"/>
                <w:color w:val="auto"/>
              </w:rPr>
              <w:t>To reduce the capital of the Company and any principal reserved for redemption of capital.</w:t>
            </w:r>
          </w:p>
        </w:tc>
      </w:tr>
      <w:tr>
        <w:trPr>
          <w:trHeight w:val="418"/>
        </w:trPr>
        <w:tc>
          <w:tcPr>
            <w:tcW w:w="420" w:type="dxa"/>
            <w:vAlign w:val="bottom"/>
          </w:tcPr>
          <w:p>
            <w:pPr>
              <w:spacing w:after="0"/>
              <w:rPr>
                <w:sz w:val="24"/>
                <w:szCs w:val="24"/>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4"/>
              </w:rPr>
              <w:t>For purposes of performance of such resolution as stated, the Board of Directors is entitled to resolve, at its discretion, any difficulty which shall</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arise in connection therewith.</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10820" w:type="dxa"/>
            <w:vAlign w:val="bottom"/>
          </w:tcPr>
          <w:p>
            <w:pPr>
              <w:ind w:left="1200"/>
              <w:spacing w:after="0"/>
              <w:rPr>
                <w:sz w:val="20"/>
                <w:szCs w:val="20"/>
                <w:color w:val="auto"/>
              </w:rPr>
            </w:pPr>
            <w:r>
              <w:rPr>
                <w:rFonts w:ascii="Arial" w:cs="Arial" w:eastAsia="Arial" w:hAnsi="Arial"/>
                <w:sz w:val="18"/>
                <w:szCs w:val="18"/>
                <w:color w:val="auto"/>
                <w:w w:val="95"/>
              </w:rPr>
              <w:t>Without detracting from the generality of the authorities of the Board of Directors as stated above, if as a result of the merger or</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division as stated above, there shall remain fractional shares in the hands of shareholders, the Board of Directors is entitled at its discretion to act as</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follows:</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34.1</w:t>
            </w:r>
          </w:p>
        </w:tc>
        <w:tc>
          <w:tcPr>
            <w:tcW w:w="10820" w:type="dxa"/>
            <w:vAlign w:val="bottom"/>
          </w:tcPr>
          <w:p>
            <w:pPr>
              <w:ind w:left="980"/>
              <w:spacing w:after="0"/>
              <w:rPr>
                <w:sz w:val="20"/>
                <w:szCs w:val="20"/>
                <w:color w:val="auto"/>
              </w:rPr>
            </w:pPr>
            <w:r>
              <w:rPr>
                <w:rFonts w:ascii="Arial" w:cs="Arial" w:eastAsia="Arial" w:hAnsi="Arial"/>
                <w:sz w:val="18"/>
                <w:szCs w:val="18"/>
                <w:color w:val="auto"/>
                <w:w w:val="93"/>
              </w:rPr>
              <w:t>To determine that fractional shares which shall not accord the owners thereof an entire share, shall be sold by the Company and the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proceeds from the sale shall be paid to those entitled under terms and in a manner as determined.</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34.2</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To allot to each of the owners of the shares whose merger and/or division shall leave them with a fractional share, shares of a class of</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1"/>
              </w:rPr>
              <w:t>shares which existed in the capital of the Company prior to the merger and/or division, in such number that the merger thereof with the fraction shall</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create one whole share, and such allotment shall be deemed valid immediately prior to the merger or division, as the case may be.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34.3</w:t>
            </w:r>
          </w:p>
        </w:tc>
        <w:tc>
          <w:tcPr>
            <w:tcW w:w="10820" w:type="dxa"/>
            <w:vAlign w:val="bottom"/>
          </w:tcPr>
          <w:p>
            <w:pPr>
              <w:ind w:left="980"/>
              <w:spacing w:after="0"/>
              <w:rPr>
                <w:sz w:val="20"/>
                <w:szCs w:val="20"/>
                <w:color w:val="auto"/>
              </w:rPr>
            </w:pPr>
            <w:r>
              <w:rPr>
                <w:rFonts w:ascii="Arial" w:cs="Arial" w:eastAsia="Arial" w:hAnsi="Arial"/>
                <w:sz w:val="18"/>
                <w:szCs w:val="18"/>
                <w:color w:val="auto"/>
                <w:w w:val="93"/>
              </w:rPr>
              <w:t>To determine the manner of payment of the amounts which must be paid for the shares which were allotted as stated in Clause 34.2</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above, including the manner in which the discharge of the amounts shall be possible on account of bonus shares.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34.4</w:t>
            </w:r>
          </w:p>
        </w:tc>
        <w:tc>
          <w:tcPr>
            <w:tcW w:w="10820" w:type="dxa"/>
            <w:vAlign w:val="bottom"/>
          </w:tcPr>
          <w:p>
            <w:pPr>
              <w:ind w:left="980"/>
              <w:spacing w:after="0"/>
              <w:rPr>
                <w:sz w:val="20"/>
                <w:szCs w:val="20"/>
                <w:color w:val="auto"/>
              </w:rPr>
            </w:pPr>
            <w:r>
              <w:rPr>
                <w:rFonts w:ascii="Arial" w:cs="Arial" w:eastAsia="Arial" w:hAnsi="Arial"/>
                <w:sz w:val="18"/>
                <w:szCs w:val="18"/>
                <w:color w:val="auto"/>
                <w:w w:val="91"/>
              </w:rPr>
              <w:t>To determine that the owners of the fractional shares shall not be entitled to receive a whole share in respect of the fraction of a share.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34.5</w:t>
            </w:r>
          </w:p>
        </w:tc>
        <w:tc>
          <w:tcPr>
            <w:tcW w:w="10820" w:type="dxa"/>
            <w:vAlign w:val="bottom"/>
          </w:tcPr>
          <w:p>
            <w:pPr>
              <w:ind w:left="980"/>
              <w:spacing w:after="0"/>
              <w:rPr>
                <w:sz w:val="20"/>
                <w:szCs w:val="20"/>
                <w:color w:val="auto"/>
              </w:rPr>
            </w:pPr>
            <w:r>
              <w:rPr>
                <w:rFonts w:ascii="Arial" w:cs="Arial" w:eastAsia="Arial" w:hAnsi="Arial"/>
                <w:sz w:val="18"/>
                <w:szCs w:val="18"/>
                <w:color w:val="auto"/>
                <w:w w:val="91"/>
              </w:rPr>
              <w:t>To determine that the owners of the shares shall not be entitled to receive a whole share in respect of a fraction of a whole share with a</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1"/>
              </w:rPr>
              <w:t>certain or lower nominal value and shall be entitled to receive a whole share in respect of the fraction of a whole share with a nominal value which is</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higher than the stated nominal value.</w:t>
            </w:r>
          </w:p>
        </w:tc>
      </w:tr>
      <w:tr>
        <w:trPr>
          <w:trHeight w:val="891"/>
        </w:trPr>
        <w:tc>
          <w:tcPr>
            <w:tcW w:w="420" w:type="dxa"/>
            <w:vAlign w:val="bottom"/>
          </w:tcPr>
          <w:p>
            <w:pPr>
              <w:spacing w:after="0"/>
              <w:rPr>
                <w:sz w:val="24"/>
                <w:szCs w:val="24"/>
                <w:color w:val="auto"/>
              </w:rPr>
            </w:pPr>
          </w:p>
        </w:tc>
        <w:tc>
          <w:tcPr>
            <w:tcW w:w="1082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10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35.</w:t>
            </w:r>
          </w:p>
        </w:tc>
        <w:tc>
          <w:tcPr>
            <w:tcW w:w="98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The Company is entitled by resolution of the general meeting by ordinary majority, to cancel registered share capital which has not</w:t>
            </w:r>
          </w:p>
        </w:tc>
      </w:tr>
      <w:tr>
        <w:trPr>
          <w:trHeight w:val="230"/>
        </w:trPr>
        <w:tc>
          <w:tcPr>
            <w:tcW w:w="360" w:type="dxa"/>
            <w:vAlign w:val="bottom"/>
          </w:tcPr>
          <w:p>
            <w:pPr>
              <w:spacing w:after="0"/>
              <w:rPr>
                <w:sz w:val="20"/>
                <w:szCs w:val="20"/>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rPr>
              <w:t>yet been allotted, and provided that the Company has not undertaken, including a conditional undertaking, to allot the shares.</w:t>
            </w:r>
          </w:p>
        </w:tc>
      </w:tr>
      <w:tr>
        <w:trPr>
          <w:trHeight w:val="391"/>
        </w:trPr>
        <w:tc>
          <w:tcPr>
            <w:tcW w:w="11140" w:type="dxa"/>
            <w:vAlign w:val="bottom"/>
            <w:gridSpan w:val="3"/>
          </w:tcPr>
          <w:p>
            <w:pPr>
              <w:spacing w:after="0"/>
              <w:rPr>
                <w:sz w:val="20"/>
                <w:szCs w:val="20"/>
                <w:color w:val="auto"/>
              </w:rPr>
            </w:pPr>
            <w:r>
              <w:rPr>
                <w:rFonts w:ascii="Arial" w:cs="Arial" w:eastAsia="Arial" w:hAnsi="Arial"/>
                <w:sz w:val="18"/>
                <w:szCs w:val="18"/>
                <w:b w:val="1"/>
                <w:bCs w:val="1"/>
                <w:color w:val="auto"/>
              </w:rPr>
              <w:t>Change in Rights</w:t>
            </w:r>
          </w:p>
        </w:tc>
      </w:tr>
      <w:tr>
        <w:trPr>
          <w:trHeight w:val="438"/>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36.</w:t>
            </w:r>
          </w:p>
        </w:tc>
        <w:tc>
          <w:tcPr>
            <w:tcW w:w="980" w:type="dxa"/>
            <w:vAlign w:val="bottom"/>
            <w:tcBorders>
              <w:top w:val="single" w:sz="8" w:color="auto"/>
            </w:tcBorders>
          </w:tcPr>
          <w:p>
            <w:pPr>
              <w:spacing w:after="0"/>
              <w:rPr>
                <w:sz w:val="24"/>
                <w:szCs w:val="24"/>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0"/>
              </w:rPr>
              <w:t>At any time, when the share capital shall be divided into different classes, the Company shall be entitled by resolution of the general</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1"/>
              </w:rPr>
              <w:t>meeting by ordinary majority, save if the conditions of the issue of the shares of such class stipulate otherwise, to cancel, to convert, to expand, to</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89"/>
              </w:rPr>
              <w:t>add, to reduce, to amend or to change in some other manner the rights of the class of shares of the Company, and provided that consent for this was</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0"/>
              </w:rPr>
              <w:t>received in writing of all of the holders of the shares of such class or the resolution was passed in the general meeting of shareholders of such class</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1"/>
              </w:rPr>
              <w:t>by ordinary majority, or in an instance where it was stipulated otherwise in the terms of the issue of the certain class of shares of the Company, as</w:t>
            </w:r>
          </w:p>
        </w:tc>
      </w:tr>
      <w:tr>
        <w:trPr>
          <w:trHeight w:val="230"/>
        </w:trPr>
        <w:tc>
          <w:tcPr>
            <w:tcW w:w="360" w:type="dxa"/>
            <w:vAlign w:val="bottom"/>
          </w:tcPr>
          <w:p>
            <w:pPr>
              <w:spacing w:after="0"/>
              <w:rPr>
                <w:sz w:val="20"/>
                <w:szCs w:val="20"/>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rPr>
              <w:t>was stipulated in the terms of the issue of such class.</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24"/>
                <w:szCs w:val="24"/>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The provisions determined in these Articles with regard to the general meeting shall apply mutatis mutandis, to every class meeting</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1"/>
              </w:rPr>
              <w:t>and provided that the legal quorum in a class meeting will be present when there shall be present at the opening of the meeting, themselves or by</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1"/>
              </w:rPr>
              <w:t>proxy, at least two shareholders who own at least 25% of the number of shares issued of such class. However, if there was not a legal quorum as</w:t>
            </w:r>
          </w:p>
        </w:tc>
      </w:tr>
      <w:tr>
        <w:trPr>
          <w:trHeight w:val="216"/>
        </w:trPr>
        <w:tc>
          <w:tcPr>
            <w:tcW w:w="360" w:type="dxa"/>
            <w:vAlign w:val="bottom"/>
          </w:tcPr>
          <w:p>
            <w:pPr>
              <w:spacing w:after="0"/>
              <w:rPr>
                <w:sz w:val="18"/>
                <w:szCs w:val="18"/>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w w:val="95"/>
              </w:rPr>
              <w:t>stated, the class meeting shall be postponed to a later date and in the postponed meeting, a legal quorum shall be fulfilled by any number of</w:t>
            </w:r>
          </w:p>
        </w:tc>
      </w:tr>
      <w:tr>
        <w:trPr>
          <w:trHeight w:val="230"/>
        </w:trPr>
        <w:tc>
          <w:tcPr>
            <w:tcW w:w="360" w:type="dxa"/>
            <w:vAlign w:val="bottom"/>
          </w:tcPr>
          <w:p>
            <w:pPr>
              <w:spacing w:after="0"/>
              <w:rPr>
                <w:sz w:val="20"/>
                <w:szCs w:val="20"/>
                <w:color w:val="auto"/>
              </w:rPr>
            </w:pPr>
          </w:p>
        </w:tc>
        <w:tc>
          <w:tcPr>
            <w:tcW w:w="10780" w:type="dxa"/>
            <w:vAlign w:val="bottom"/>
            <w:gridSpan w:val="2"/>
          </w:tcPr>
          <w:p>
            <w:pPr>
              <w:ind w:left="140"/>
              <w:spacing w:after="0"/>
              <w:rPr>
                <w:sz w:val="20"/>
                <w:szCs w:val="20"/>
                <w:color w:val="auto"/>
              </w:rPr>
            </w:pPr>
            <w:r>
              <w:rPr>
                <w:rFonts w:ascii="Arial" w:cs="Arial" w:eastAsia="Arial" w:hAnsi="Arial"/>
                <w:sz w:val="18"/>
                <w:szCs w:val="18"/>
                <w:color w:val="auto"/>
              </w:rPr>
              <w:t>participants, regardless of the number of shares they own.</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24"/>
                <w:szCs w:val="24"/>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90"/>
              </w:rPr>
              <w:t>The rights accorded to the shareholders or the owners of such class of shares which were issued in respect of ordinary rights and in</w:t>
            </w:r>
          </w:p>
        </w:tc>
      </w:tr>
    </w:tbl>
    <w:p>
      <w:pPr>
        <w:ind w:left="500"/>
        <w:spacing w:after="0" w:line="253" w:lineRule="auto"/>
        <w:rPr>
          <w:sz w:val="20"/>
          <w:szCs w:val="20"/>
          <w:color w:val="auto"/>
        </w:rPr>
      </w:pPr>
      <w:r>
        <w:rPr>
          <w:rFonts w:ascii="Arial" w:cs="Arial" w:eastAsia="Arial" w:hAnsi="Arial"/>
          <w:sz w:val="18"/>
          <w:szCs w:val="18"/>
          <w:color w:val="auto"/>
        </w:rPr>
        <w:t>respect of preferred rights or some other special rights, shall not be deemed for purposes of Clause 36 above as though they were converted, reduced, prejudiced or changed in some other manner by the creation and/or issue of additional shares of any class, whether they are equivalent to them or of a different or preferred class, and shall not be deemed for purposes of the aforementioned clause as though they were converted, reduced, prejudiced or otherwise changed, by a change in the rights attached to shares of any other class, and all save if stipulated otherwise explicitly in the terms of the issue of such shares.</w:t>
      </w:r>
    </w:p>
    <w:p>
      <w:pPr>
        <w:spacing w:after="0" w:line="187" w:lineRule="exact"/>
        <w:rPr>
          <w:sz w:val="20"/>
          <w:szCs w:val="20"/>
          <w:color w:val="auto"/>
        </w:rPr>
      </w:pPr>
    </w:p>
    <w:p>
      <w:pPr>
        <w:ind w:left="1580" w:hanging="1572"/>
        <w:spacing w:after="0"/>
        <w:tabs>
          <w:tab w:leader="none" w:pos="158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Issue of shares and other securities.</w:t>
      </w:r>
    </w:p>
    <w:p>
      <w:pPr>
        <w:spacing w:after="0" w:line="229" w:lineRule="exact"/>
        <w:rPr>
          <w:sz w:val="20"/>
          <w:szCs w:val="20"/>
          <w:color w:val="auto"/>
        </w:rPr>
      </w:pPr>
    </w:p>
    <w:p>
      <w:pPr>
        <w:ind w:left="500" w:hanging="494"/>
        <w:spacing w:after="0" w:line="255" w:lineRule="auto"/>
        <w:tabs>
          <w:tab w:leader="none" w:pos="480" w:val="left"/>
        </w:tabs>
        <w:rPr>
          <w:sz w:val="20"/>
          <w:szCs w:val="20"/>
          <w:color w:val="auto"/>
        </w:rPr>
      </w:pPr>
      <w:r>
        <w:rPr>
          <w:rFonts w:ascii="Arial" w:cs="Arial" w:eastAsia="Arial" w:hAnsi="Arial"/>
          <w:sz w:val="18"/>
          <w:szCs w:val="18"/>
          <w:color w:val="auto"/>
        </w:rPr>
        <w:t>39.1.</w:t>
        <w:tab/>
        <w:t>The Board of Directors is entitled to issue or allot shares and other securities, which are convertible or may be exercised into shares, up to the limit of the registered share capital of the Company. For this matter, securities which are convertible or may be converted or exercised into shares shall be viewed as though they were exercised or converted at the date of their issue. Without detracting from the generality of that stated above, the Board of Directors shall be entitled to issue the shares and other securities as stated above, to grant rights of choice for their purchase, including options, or to grant them in some other manner, and all to persons who were determined by it and at the time and the prices and terms as determined by it, and to determine any other provision related to this,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431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500" w:right="60"/>
        <w:spacing w:after="0" w:line="277" w:lineRule="auto"/>
        <w:rPr>
          <w:sz w:val="20"/>
          <w:szCs w:val="20"/>
          <w:color w:val="auto"/>
        </w:rPr>
      </w:pPr>
      <w:r>
        <w:rPr>
          <w:rFonts w:ascii="Arial" w:cs="Arial" w:eastAsia="Arial" w:hAnsi="Arial"/>
          <w:sz w:val="18"/>
          <w:szCs w:val="18"/>
          <w:color w:val="auto"/>
        </w:rPr>
        <w:t>including provisions regarding the manner of distribution of the shares and securities which shall be issued by the Company, between the purchasers thereof, including an instances of oversubscription, and all at the discretion of the Board of Directors.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The authorities of the Board of Directors as specified in Clause 39.1 above may be delegated as specified in the following paragraphs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or (2):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(1) To a Board of Directors committee - in the issue or allotment of securities in the framework of an employee remuneration scheme or agreements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of employment or wage between the Company and its employees or between the Company and employees of an associated Company whose Board</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of Directors has agreed to this in advance, and provided that the issue or allotment shall be in accordance with a program which includes specific</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covenants which were issued and approved by the Board of Directors.</w:t>
            </w:r>
          </w:p>
        </w:tc>
      </w:tr>
      <w:tr>
        <w:trPr>
          <w:trHeight w:val="418"/>
        </w:trPr>
        <w:tc>
          <w:tcPr>
            <w:tcW w:w="360" w:type="dxa"/>
            <w:vAlign w:val="bottom"/>
          </w:tcPr>
          <w:p>
            <w:pPr>
              <w:spacing w:after="0"/>
              <w:rPr>
                <w:sz w:val="24"/>
                <w:szCs w:val="24"/>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8"/>
              </w:rPr>
              <w:t>(2) A Board of Directors committee, the CEO or the holder of such position (in this clause - CEO) or some other person who the CEO has</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recommended - in the issue of shares subsequent to exercise or conversion of securities of the Company.</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40.</w:t>
            </w:r>
          </w:p>
        </w:tc>
        <w:tc>
          <w:tcPr>
            <w:tcW w:w="10880" w:type="dxa"/>
            <w:vAlign w:val="bottom"/>
          </w:tcPr>
          <w:p>
            <w:pPr>
              <w:ind w:left="1260"/>
              <w:spacing w:after="0"/>
              <w:rPr>
                <w:sz w:val="20"/>
                <w:szCs w:val="20"/>
                <w:color w:val="auto"/>
              </w:rPr>
            </w:pPr>
            <w:r>
              <w:rPr>
                <w:rFonts w:ascii="Arial" w:cs="Arial" w:eastAsia="Arial" w:hAnsi="Arial"/>
                <w:sz w:val="18"/>
                <w:szCs w:val="18"/>
                <w:color w:val="auto"/>
                <w:w w:val="92"/>
              </w:rPr>
              <w:t>Without detracting from the generality of that stated above and subject to the provisions of The Companies Law and these Articles,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the Board of Directors is entitled to determine that the consideration for the shares shall be paid in cash or in kind and including in securities or any</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other manner, at its discretion, or that the shares shall be allotted as bonus shares or that the shares shall be allotted for consideration equal to their</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6"/>
              </w:rPr>
              <w:t>nominal value or higher than it, whether individually or in series, and all under terms and dates as determined by the Board of Directors at its</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discretion.</w:t>
            </w:r>
          </w:p>
        </w:tc>
      </w:tr>
      <w:tr>
        <w:trPr>
          <w:trHeight w:val="414"/>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41.</w:t>
            </w:r>
          </w:p>
        </w:tc>
        <w:tc>
          <w:tcPr>
            <w:tcW w:w="10880" w:type="dxa"/>
            <w:vAlign w:val="bottom"/>
          </w:tcPr>
          <w:p>
            <w:pPr>
              <w:ind w:left="1260"/>
              <w:spacing w:after="0"/>
              <w:rPr>
                <w:sz w:val="20"/>
                <w:szCs w:val="20"/>
                <w:color w:val="auto"/>
              </w:rPr>
            </w:pPr>
            <w:r>
              <w:rPr>
                <w:rFonts w:ascii="Arial" w:cs="Arial" w:eastAsia="Arial" w:hAnsi="Arial"/>
                <w:sz w:val="18"/>
                <w:szCs w:val="18"/>
                <w:color w:val="auto"/>
                <w:w w:val="89"/>
              </w:rPr>
              <w:t>In a decision to increase the registered share capital of the Company, the general meeting may determine that the new shares included</w:t>
            </w:r>
          </w:p>
        </w:tc>
      </w:tr>
      <w:tr>
        <w:trPr>
          <w:trHeight w:val="220"/>
        </w:trPr>
        <w:tc>
          <w:tcPr>
            <w:tcW w:w="36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 xml:space="preserve">in the amounts by which the registered share capital was increased as stated (here and after: “ </w:t>
            </w:r>
            <w:r>
              <w:rPr>
                <w:rFonts w:ascii="Arial" w:cs="Arial" w:eastAsia="Arial" w:hAnsi="Arial"/>
                <w:sz w:val="18"/>
                <w:szCs w:val="18"/>
                <w:b w:val="1"/>
                <w:bCs w:val="1"/>
                <w:color w:val="auto"/>
                <w:w w:val="91"/>
              </w:rPr>
              <w:t>the new shares</w:t>
            </w:r>
            <w:r>
              <w:rPr>
                <w:rFonts w:ascii="Arial" w:cs="Arial" w:eastAsia="Arial" w:hAnsi="Arial"/>
                <w:sz w:val="18"/>
                <w:szCs w:val="18"/>
                <w:color w:val="auto"/>
                <w:w w:val="91"/>
              </w:rPr>
              <w:t xml:space="preserve"> ”) or any part thereof, will be offered</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initially at their nominal value or for an added premium, to all of the shareholders holder who hold shares at such times, at a rate proportional to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7"/>
              </w:rPr>
              <w:t>nominal value of their shares in the Company or to determine other provisions for the manner of the issue and allotment of the new shares.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However, in the event that the general meeting has not determined as stated in the decision to increase the registered share capital of the Company,</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the Board of Directors may offer them as stated in Clause 39 above.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42.</w:t>
            </w:r>
          </w:p>
        </w:tc>
        <w:tc>
          <w:tcPr>
            <w:tcW w:w="10880" w:type="dxa"/>
            <w:vAlign w:val="bottom"/>
          </w:tcPr>
          <w:p>
            <w:pPr>
              <w:ind w:left="1260"/>
              <w:spacing w:after="0"/>
              <w:rPr>
                <w:sz w:val="20"/>
                <w:szCs w:val="20"/>
                <w:color w:val="auto"/>
              </w:rPr>
            </w:pPr>
            <w:r>
              <w:rPr>
                <w:rFonts w:ascii="Arial" w:cs="Arial" w:eastAsia="Arial" w:hAnsi="Arial"/>
                <w:sz w:val="18"/>
                <w:szCs w:val="18"/>
                <w:color w:val="auto"/>
                <w:w w:val="92"/>
              </w:rPr>
              <w:t>The Board of Directors is entitled to resolve to pay commissions or underwriting fees to any person in consideration for subscription</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5"/>
              </w:rPr>
              <w:t>or agreement to subscription or the obtaining of subscriptions or the promise of subscriptions upon shares, or bonds or other securities of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Company. The Board of Directors may also, in any event of the issue of securities of the Company, resolve to pay intermediary commissions, in</w:t>
            </w:r>
          </w:p>
        </w:tc>
      </w:tr>
    </w:tbl>
    <w:p>
      <w:pPr>
        <w:ind w:left="500" w:right="20"/>
        <w:spacing w:after="0" w:line="260" w:lineRule="auto"/>
        <w:rPr>
          <w:sz w:val="20"/>
          <w:szCs w:val="20"/>
          <w:color w:val="auto"/>
        </w:rPr>
      </w:pPr>
      <w:r>
        <w:rPr>
          <w:rFonts w:ascii="Arial" w:cs="Arial" w:eastAsia="Arial" w:hAnsi="Arial"/>
          <w:sz w:val="18"/>
          <w:szCs w:val="18"/>
          <w:color w:val="auto"/>
        </w:rPr>
        <w:t>cash, in Company shares or other securities which were issued by the Company or in any other manner or partly in one manner and partly in another, and all subject to the provisions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auto"/>
        </w:rPr>
        <w:t>Redeemable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Subject to the provisions of The Companies Law, the Company is entitled to issue securities which may be redeemed at terms and in</w:t>
            </w:r>
          </w:p>
        </w:tc>
      </w:tr>
      <w:tr>
        <w:trPr>
          <w:trHeight w:val="230"/>
        </w:trPr>
        <w:tc>
          <w:tcPr>
            <w:tcW w:w="420" w:type="dxa"/>
            <w:vAlign w:val="bottom"/>
          </w:tcPr>
          <w:p>
            <w:pPr>
              <w:spacing w:after="0"/>
              <w:rPr>
                <w:sz w:val="20"/>
                <w:szCs w:val="20"/>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a manner determined by the Board of Directors at its discretion.</w:t>
            </w:r>
          </w:p>
        </w:tc>
      </w:tr>
      <w:tr>
        <w:trPr>
          <w:trHeight w:val="392"/>
        </w:trPr>
        <w:tc>
          <w:tcPr>
            <w:tcW w:w="11240" w:type="dxa"/>
            <w:vAlign w:val="bottom"/>
            <w:gridSpan w:val="4"/>
          </w:tcPr>
          <w:p>
            <w:pPr>
              <w:spacing w:after="0"/>
              <w:rPr>
                <w:sz w:val="20"/>
                <w:szCs w:val="20"/>
                <w:color w:val="auto"/>
              </w:rPr>
            </w:pPr>
            <w:r>
              <w:rPr>
                <w:rFonts w:ascii="Arial" w:cs="Arial" w:eastAsia="Arial" w:hAnsi="Arial"/>
                <w:sz w:val="18"/>
                <w:szCs w:val="18"/>
                <w:b w:val="1"/>
                <w:bCs w:val="1"/>
                <w:color w:val="auto"/>
              </w:rPr>
              <w:t>Registries</w:t>
            </w:r>
          </w:p>
        </w:tc>
      </w:tr>
      <w:tr>
        <w:trPr>
          <w:trHeight w:val="453"/>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w w:val="90"/>
              </w:rPr>
              <w:t>The Company shall conduct a registry of the shareholders and shall record in it the names of the owners of the shares and the additional</w:t>
            </w:r>
          </w:p>
        </w:tc>
      </w:tr>
      <w:tr>
        <w:trPr>
          <w:trHeight w:val="216"/>
        </w:trPr>
        <w:tc>
          <w:tcPr>
            <w:tcW w:w="420" w:type="dxa"/>
            <w:vAlign w:val="bottom"/>
          </w:tcPr>
          <w:p>
            <w:pPr>
              <w:spacing w:after="0"/>
              <w:rPr>
                <w:sz w:val="18"/>
                <w:szCs w:val="18"/>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w w:val="92"/>
              </w:rPr>
              <w:t>details required under The Companies Law, immediately after the issue of any shares of the Company. Subject to the provisions of the Law, upon</w:t>
            </w:r>
          </w:p>
        </w:tc>
      </w:tr>
      <w:tr>
        <w:trPr>
          <w:trHeight w:val="216"/>
        </w:trPr>
        <w:tc>
          <w:tcPr>
            <w:tcW w:w="420" w:type="dxa"/>
            <w:vAlign w:val="bottom"/>
          </w:tcPr>
          <w:p>
            <w:pPr>
              <w:spacing w:after="0"/>
              <w:rPr>
                <w:sz w:val="18"/>
                <w:szCs w:val="18"/>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w w:val="90"/>
              </w:rPr>
              <w:t>the registration in the registry, a registered shareholder shall be deemed the owner of the shares registered in his name, and even if share certificates</w:t>
            </w:r>
          </w:p>
        </w:tc>
      </w:tr>
      <w:tr>
        <w:trPr>
          <w:trHeight w:val="230"/>
        </w:trPr>
        <w:tc>
          <w:tcPr>
            <w:tcW w:w="420" w:type="dxa"/>
            <w:vAlign w:val="bottom"/>
          </w:tcPr>
          <w:p>
            <w:pPr>
              <w:spacing w:after="0"/>
              <w:rPr>
                <w:sz w:val="20"/>
                <w:szCs w:val="20"/>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were not issued in respect of these shares.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rPr>
              <w:t>The Company shall conduct a registry of substantial shareholders as required by The Companies Law.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The Company is entitled to conduct an additional registry of shareholders outside of Israel under terms as determined for this matter</w:t>
            </w:r>
          </w:p>
        </w:tc>
      </w:tr>
      <w:tr>
        <w:trPr>
          <w:trHeight w:val="230"/>
        </w:trPr>
        <w:tc>
          <w:tcPr>
            <w:tcW w:w="420" w:type="dxa"/>
            <w:vAlign w:val="bottom"/>
          </w:tcPr>
          <w:p>
            <w:pPr>
              <w:spacing w:after="0"/>
              <w:rPr>
                <w:sz w:val="20"/>
                <w:szCs w:val="20"/>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in The Companies Law.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The Company shall conduct a registry of the holders of bonds and securities which may be converted into shares of the Company and</w:t>
            </w:r>
          </w:p>
        </w:tc>
      </w:tr>
      <w:tr>
        <w:trPr>
          <w:trHeight w:val="216"/>
        </w:trPr>
        <w:tc>
          <w:tcPr>
            <w:tcW w:w="420" w:type="dxa"/>
            <w:vAlign w:val="bottom"/>
          </w:tcPr>
          <w:p>
            <w:pPr>
              <w:spacing w:after="0"/>
              <w:rPr>
                <w:sz w:val="18"/>
                <w:szCs w:val="18"/>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w w:val="93"/>
              </w:rPr>
              <w:t>all of the provisions of these Articles in connection with shares shall apply also to these convertible securities with regard to the registration in the</w:t>
            </w:r>
          </w:p>
        </w:tc>
      </w:tr>
      <w:tr>
        <w:trPr>
          <w:trHeight w:val="216"/>
        </w:trPr>
        <w:tc>
          <w:tcPr>
            <w:tcW w:w="420" w:type="dxa"/>
            <w:vAlign w:val="bottom"/>
          </w:tcPr>
          <w:p>
            <w:pPr>
              <w:spacing w:after="0"/>
              <w:rPr>
                <w:sz w:val="18"/>
                <w:szCs w:val="18"/>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w w:val="90"/>
              </w:rPr>
              <w:t>registry, the issue of certificates, the replacement of certificates, transfer and assignment, mutatis mutandis as the case may be, and all subject to the</w:t>
            </w:r>
          </w:p>
        </w:tc>
      </w:tr>
      <w:tr>
        <w:trPr>
          <w:trHeight w:val="230"/>
        </w:trPr>
        <w:tc>
          <w:tcPr>
            <w:tcW w:w="420" w:type="dxa"/>
            <w:vAlign w:val="bottom"/>
          </w:tcPr>
          <w:p>
            <w:pPr>
              <w:spacing w:after="0"/>
              <w:rPr>
                <w:sz w:val="20"/>
                <w:szCs w:val="20"/>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terms of the issue of the securities.</w:t>
            </w:r>
          </w:p>
        </w:tc>
      </w:tr>
      <w:tr>
        <w:trPr>
          <w:trHeight w:val="392"/>
        </w:trPr>
        <w:tc>
          <w:tcPr>
            <w:tcW w:w="11240" w:type="dxa"/>
            <w:vAlign w:val="bottom"/>
            <w:gridSpan w:val="4"/>
          </w:tcPr>
          <w:p>
            <w:pPr>
              <w:spacing w:after="0"/>
              <w:rPr>
                <w:sz w:val="20"/>
                <w:szCs w:val="20"/>
                <w:color w:val="auto"/>
              </w:rPr>
            </w:pPr>
            <w:r>
              <w:rPr>
                <w:rFonts w:ascii="Arial" w:cs="Arial" w:eastAsia="Arial" w:hAnsi="Arial"/>
                <w:sz w:val="18"/>
                <w:szCs w:val="18"/>
                <w:b w:val="1"/>
                <w:bCs w:val="1"/>
                <w:color w:val="auto"/>
              </w:rPr>
              <w:t>General Meeting</w:t>
            </w:r>
          </w:p>
        </w:tc>
      </w:tr>
      <w:tr>
        <w:trPr>
          <w:trHeight w:val="453"/>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Resolutions of the Company in the following matters shall be passed by the general meeting:</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rPr>
              <w:t>Changes to the Articles of the Company or its Memorandum.</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w w:val="99"/>
              </w:rPr>
              <w:t>Implementation of the authorities of the Board of Directors by the general meeting if the Board of Directors is precluded from</w:t>
            </w:r>
          </w:p>
        </w:tc>
      </w:tr>
      <w:tr>
        <w:trPr>
          <w:trHeight w:val="216"/>
        </w:trPr>
        <w:tc>
          <w:tcPr>
            <w:tcW w:w="420" w:type="dxa"/>
            <w:vAlign w:val="bottom"/>
          </w:tcPr>
          <w:p>
            <w:pPr>
              <w:spacing w:after="0"/>
              <w:rPr>
                <w:sz w:val="18"/>
                <w:szCs w:val="18"/>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w w:val="98"/>
              </w:rPr>
              <w:t>implementing its authorities and the implementation of any of its authorities is crucial for the proper conduct of the Company, as stated in</w:t>
            </w:r>
          </w:p>
        </w:tc>
      </w:tr>
      <w:tr>
        <w:trPr>
          <w:trHeight w:val="230"/>
        </w:trPr>
        <w:tc>
          <w:tcPr>
            <w:tcW w:w="420" w:type="dxa"/>
            <w:vAlign w:val="bottom"/>
          </w:tcPr>
          <w:p>
            <w:pPr>
              <w:spacing w:after="0"/>
              <w:rPr>
                <w:sz w:val="20"/>
                <w:szCs w:val="20"/>
                <w:color w:val="auto"/>
              </w:rPr>
            </w:pP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Article 52(A) of The Companies Law.</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rPr>
              <w:t>The appointment of an auditing accountant for the Company and the cessation of his employment.</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ind w:left="100"/>
              <w:spacing w:after="0"/>
              <w:rPr>
                <w:sz w:val="20"/>
                <w:szCs w:val="20"/>
                <w:color w:val="auto"/>
              </w:rPr>
            </w:pPr>
            <w:r>
              <w:rPr>
                <w:rFonts w:ascii="Arial" w:cs="Arial" w:eastAsia="Arial" w:hAnsi="Arial"/>
                <w:sz w:val="18"/>
                <w:szCs w:val="18"/>
                <w:color w:val="auto"/>
              </w:rPr>
              <w:t>The appointment of directors for the Company and their dismissal.</w:t>
            </w:r>
          </w:p>
        </w:tc>
      </w:tr>
      <w:tr>
        <w:trPr>
          <w:trHeight w:val="891"/>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9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4" w:right="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47.5</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Approval of actions and transactions requiring the approval of the general meeting under the provisions of Articles 255 and 268 to 275</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of The Companies Law.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47.6</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Increase of the registered share capital and its decrease in accordance with the provisions of Articles 286 and 287 of The Companies</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Law and changes in the capital as stated in Clause 33 above.</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47.7</w:t>
            </w:r>
          </w:p>
        </w:tc>
        <w:tc>
          <w:tcPr>
            <w:tcW w:w="10820" w:type="dxa"/>
            <w:vAlign w:val="bottom"/>
          </w:tcPr>
          <w:p>
            <w:pPr>
              <w:ind w:left="980"/>
              <w:spacing w:after="0"/>
              <w:rPr>
                <w:sz w:val="20"/>
                <w:szCs w:val="20"/>
                <w:color w:val="auto"/>
              </w:rPr>
            </w:pPr>
            <w:r>
              <w:rPr>
                <w:rFonts w:ascii="Arial" w:cs="Arial" w:eastAsia="Arial" w:hAnsi="Arial"/>
                <w:sz w:val="18"/>
                <w:szCs w:val="18"/>
                <w:color w:val="auto"/>
              </w:rPr>
              <w:t>Merger as stated in Article 320(A) of The Companies Law.</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47.8</w:t>
            </w:r>
          </w:p>
        </w:tc>
        <w:tc>
          <w:tcPr>
            <w:tcW w:w="10820" w:type="dxa"/>
            <w:vAlign w:val="bottom"/>
          </w:tcPr>
          <w:p>
            <w:pPr>
              <w:ind w:left="980"/>
              <w:spacing w:after="0"/>
              <w:rPr>
                <w:sz w:val="20"/>
                <w:szCs w:val="20"/>
                <w:color w:val="auto"/>
              </w:rPr>
            </w:pPr>
            <w:r>
              <w:rPr>
                <w:rFonts w:ascii="Arial" w:cs="Arial" w:eastAsia="Arial" w:hAnsi="Arial"/>
                <w:sz w:val="18"/>
                <w:szCs w:val="18"/>
                <w:color w:val="auto"/>
              </w:rPr>
              <w:t>Any resolution which must be passed in accordance with these Articles, by the general meeting.</w:t>
            </w:r>
          </w:p>
        </w:tc>
      </w:tr>
      <w:tr>
        <w:trPr>
          <w:trHeight w:val="418"/>
        </w:trPr>
        <w:tc>
          <w:tcPr>
            <w:tcW w:w="420" w:type="dxa"/>
            <w:vAlign w:val="bottom"/>
          </w:tcPr>
          <w:p>
            <w:pPr>
              <w:spacing w:after="0"/>
              <w:rPr>
                <w:sz w:val="24"/>
                <w:szCs w:val="24"/>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5"/>
              </w:rPr>
              <w:t>Subject to the provisions of The Companies Law, the general meeting is entitled to undertake authorities given to some other organ, and if the</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3"/>
              </w:rPr>
              <w:t>general meeting has undertaken the authorities of the Board of Directors of the Company, the shareholders will be liable and responsible for the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liabilities and duties of the directors, as stated in Article 50(b) of The Companies Law.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48.</w:t>
            </w:r>
          </w:p>
        </w:tc>
        <w:tc>
          <w:tcPr>
            <w:tcW w:w="10820" w:type="dxa"/>
            <w:vAlign w:val="bottom"/>
          </w:tcPr>
          <w:p>
            <w:pPr>
              <w:ind w:left="1200"/>
              <w:spacing w:after="0"/>
              <w:rPr>
                <w:sz w:val="20"/>
                <w:szCs w:val="20"/>
                <w:color w:val="auto"/>
              </w:rPr>
            </w:pPr>
            <w:r>
              <w:rPr>
                <w:rFonts w:ascii="Arial" w:cs="Arial" w:eastAsia="Arial" w:hAnsi="Arial"/>
                <w:sz w:val="18"/>
                <w:szCs w:val="18"/>
                <w:color w:val="auto"/>
                <w:w w:val="90"/>
              </w:rPr>
              <w:t>The Company will conduct an annual general meeting every year and not later than the expiry of 15 months from the previous annual</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meeting, at the date and time as determined by the Board of Directors.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49.</w:t>
            </w:r>
          </w:p>
        </w:tc>
        <w:tc>
          <w:tcPr>
            <w:tcW w:w="10820" w:type="dxa"/>
            <w:vAlign w:val="bottom"/>
          </w:tcPr>
          <w:p>
            <w:pPr>
              <w:ind w:left="1200"/>
              <w:spacing w:after="0"/>
              <w:rPr>
                <w:sz w:val="20"/>
                <w:szCs w:val="20"/>
                <w:color w:val="auto"/>
              </w:rPr>
            </w:pPr>
            <w:r>
              <w:rPr>
                <w:rFonts w:ascii="Arial" w:cs="Arial" w:eastAsia="Arial" w:hAnsi="Arial"/>
                <w:sz w:val="18"/>
                <w:szCs w:val="18"/>
                <w:color w:val="auto"/>
              </w:rPr>
              <w:t>The agenda of the annual general meeting shall include the following items:</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49.1</w:t>
            </w:r>
          </w:p>
        </w:tc>
        <w:tc>
          <w:tcPr>
            <w:tcW w:w="10820" w:type="dxa"/>
            <w:vAlign w:val="bottom"/>
          </w:tcPr>
          <w:p>
            <w:pPr>
              <w:ind w:left="980"/>
              <w:spacing w:after="0"/>
              <w:rPr>
                <w:sz w:val="20"/>
                <w:szCs w:val="20"/>
                <w:color w:val="auto"/>
              </w:rPr>
            </w:pPr>
            <w:r>
              <w:rPr>
                <w:rFonts w:ascii="Arial" w:cs="Arial" w:eastAsia="Arial" w:hAnsi="Arial"/>
                <w:sz w:val="18"/>
                <w:szCs w:val="18"/>
                <w:color w:val="auto"/>
                <w:w w:val="93"/>
              </w:rPr>
              <w:t>Discussion of the financial reports of the Company and the Board of Directors report on the state of affairs of the Company which are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submitted to the general meeting.</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49.2</w:t>
            </w:r>
          </w:p>
        </w:tc>
        <w:tc>
          <w:tcPr>
            <w:tcW w:w="10820" w:type="dxa"/>
            <w:vAlign w:val="bottom"/>
          </w:tcPr>
          <w:p>
            <w:pPr>
              <w:ind w:left="980"/>
              <w:spacing w:after="0"/>
              <w:rPr>
                <w:sz w:val="20"/>
                <w:szCs w:val="20"/>
                <w:color w:val="auto"/>
              </w:rPr>
            </w:pPr>
            <w:r>
              <w:rPr>
                <w:rFonts w:ascii="Arial" w:cs="Arial" w:eastAsia="Arial" w:hAnsi="Arial"/>
                <w:sz w:val="18"/>
                <w:szCs w:val="18"/>
                <w:color w:val="auto"/>
              </w:rPr>
              <w:t>Appointment of directors and determination of their wages.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49.3</w:t>
            </w:r>
          </w:p>
        </w:tc>
        <w:tc>
          <w:tcPr>
            <w:tcW w:w="10820" w:type="dxa"/>
            <w:vAlign w:val="bottom"/>
          </w:tcPr>
          <w:p>
            <w:pPr>
              <w:ind w:left="980"/>
              <w:spacing w:after="0"/>
              <w:rPr>
                <w:sz w:val="20"/>
                <w:szCs w:val="20"/>
                <w:color w:val="auto"/>
              </w:rPr>
            </w:pPr>
            <w:r>
              <w:rPr>
                <w:rFonts w:ascii="Arial" w:cs="Arial" w:eastAsia="Arial" w:hAnsi="Arial"/>
                <w:sz w:val="18"/>
                <w:szCs w:val="18"/>
                <w:color w:val="auto"/>
              </w:rPr>
              <w:t>Appointment of an auditing accountant.</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49.4</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Reporting by the Board of Directors upon the wage of the auditing accountant for the auditing activity and for the additional services, if</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any.</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49.5</w:t>
            </w:r>
          </w:p>
        </w:tc>
        <w:tc>
          <w:tcPr>
            <w:tcW w:w="10820" w:type="dxa"/>
            <w:vAlign w:val="bottom"/>
          </w:tcPr>
          <w:p>
            <w:pPr>
              <w:ind w:left="980"/>
              <w:spacing w:after="0"/>
              <w:rPr>
                <w:sz w:val="20"/>
                <w:szCs w:val="20"/>
                <w:color w:val="auto"/>
              </w:rPr>
            </w:pPr>
            <w:r>
              <w:rPr>
                <w:rFonts w:ascii="Arial" w:cs="Arial" w:eastAsia="Arial" w:hAnsi="Arial"/>
                <w:sz w:val="18"/>
                <w:szCs w:val="18"/>
                <w:color w:val="auto"/>
                <w:w w:val="90"/>
              </w:rPr>
              <w:t>In addition to that stated above, the agenda of the annual meeting may include any other matter which was determined in the agenda as</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stated in Clause 52 below.</w:t>
            </w:r>
          </w:p>
        </w:tc>
      </w:tr>
      <w:tr>
        <w:trPr>
          <w:trHeight w:val="432"/>
        </w:trPr>
        <w:tc>
          <w:tcPr>
            <w:tcW w:w="420" w:type="dxa"/>
            <w:vAlign w:val="bottom"/>
          </w:tcPr>
          <w:p>
            <w:pPr>
              <w:spacing w:after="0"/>
              <w:rPr>
                <w:sz w:val="24"/>
                <w:szCs w:val="24"/>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3"/>
              </w:rPr>
              <w:t xml:space="preserve">The general meeting as stated above shall be called </w:t>
            </w:r>
            <w:r>
              <w:rPr>
                <w:rFonts w:ascii="Arial" w:cs="Arial" w:eastAsia="Arial" w:hAnsi="Arial"/>
                <w:sz w:val="18"/>
                <w:szCs w:val="18"/>
                <w:b w:val="1"/>
                <w:bCs w:val="1"/>
                <w:color w:val="auto"/>
                <w:w w:val="93"/>
              </w:rPr>
              <w:t>“an annual meeting”</w:t>
            </w:r>
            <w:r>
              <w:rPr>
                <w:rFonts w:ascii="Arial" w:cs="Arial" w:eastAsia="Arial" w:hAnsi="Arial"/>
                <w:sz w:val="18"/>
                <w:szCs w:val="18"/>
                <w:color w:val="auto"/>
                <w:w w:val="93"/>
              </w:rPr>
              <w:t xml:space="preserve"> and any other general meeting shall be called </w:t>
            </w:r>
            <w:r>
              <w:rPr>
                <w:rFonts w:ascii="Arial" w:cs="Arial" w:eastAsia="Arial" w:hAnsi="Arial"/>
                <w:sz w:val="18"/>
                <w:szCs w:val="18"/>
                <w:b w:val="1"/>
                <w:bCs w:val="1"/>
                <w:color w:val="auto"/>
                <w:w w:val="93"/>
              </w:rPr>
              <w:t>“a special meeting”.</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50.</w:t>
            </w:r>
          </w:p>
        </w:tc>
        <w:tc>
          <w:tcPr>
            <w:tcW w:w="10820" w:type="dxa"/>
            <w:vAlign w:val="bottom"/>
          </w:tcPr>
          <w:p>
            <w:pPr>
              <w:ind w:left="1200"/>
              <w:spacing w:after="0"/>
              <w:rPr>
                <w:sz w:val="20"/>
                <w:szCs w:val="20"/>
                <w:color w:val="auto"/>
              </w:rPr>
            </w:pPr>
            <w:r>
              <w:rPr>
                <w:rFonts w:ascii="Arial" w:cs="Arial" w:eastAsia="Arial" w:hAnsi="Arial"/>
                <w:sz w:val="18"/>
                <w:szCs w:val="18"/>
                <w:color w:val="auto"/>
                <w:w w:val="92"/>
              </w:rPr>
              <w:t>The Board of Directors of the Company will convene a special meeting in accordance with its resolution and in accordance with the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demand of any of the following:</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50.1</w:t>
            </w:r>
          </w:p>
        </w:tc>
        <w:tc>
          <w:tcPr>
            <w:tcW w:w="10820" w:type="dxa"/>
            <w:vAlign w:val="bottom"/>
          </w:tcPr>
          <w:p>
            <w:pPr>
              <w:ind w:left="980"/>
              <w:spacing w:after="0"/>
              <w:rPr>
                <w:sz w:val="20"/>
                <w:szCs w:val="20"/>
                <w:color w:val="auto"/>
              </w:rPr>
            </w:pPr>
            <w:r>
              <w:rPr>
                <w:rFonts w:ascii="Arial" w:cs="Arial" w:eastAsia="Arial" w:hAnsi="Arial"/>
                <w:sz w:val="18"/>
                <w:szCs w:val="18"/>
                <w:color w:val="auto"/>
              </w:rPr>
              <w:t>Two directors or one-quarter of the serving directors.</w:t>
            </w:r>
          </w:p>
        </w:tc>
      </w:tr>
      <w:tr>
        <w:trPr>
          <w:trHeight w:val="891"/>
        </w:trPr>
        <w:tc>
          <w:tcPr>
            <w:tcW w:w="420" w:type="dxa"/>
            <w:vAlign w:val="bottom"/>
          </w:tcPr>
          <w:p>
            <w:pPr>
              <w:spacing w:after="0"/>
              <w:rPr>
                <w:sz w:val="24"/>
                <w:szCs w:val="24"/>
                <w:color w:val="auto"/>
              </w:rPr>
            </w:pPr>
          </w:p>
        </w:tc>
        <w:tc>
          <w:tcPr>
            <w:tcW w:w="1082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10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50.2</w:t>
            </w:r>
          </w:p>
        </w:tc>
        <w:tc>
          <w:tcPr>
            <w:tcW w:w="10820" w:type="dxa"/>
            <w:vAlign w:val="bottom"/>
          </w:tcPr>
          <w:p>
            <w:pPr>
              <w:ind w:left="980"/>
              <w:spacing w:after="0"/>
              <w:rPr>
                <w:sz w:val="20"/>
                <w:szCs w:val="20"/>
                <w:color w:val="auto"/>
              </w:rPr>
            </w:pPr>
            <w:r>
              <w:rPr>
                <w:rFonts w:ascii="Arial" w:cs="Arial" w:eastAsia="Arial" w:hAnsi="Arial"/>
                <w:sz w:val="18"/>
                <w:szCs w:val="18"/>
                <w:color w:val="auto"/>
                <w:w w:val="93"/>
              </w:rPr>
              <w:t>A shareholder, one or more, with at least 5% of the issued share capital and 1% of the voting rights in the Company, or one or more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shareholder with at least 5% of the voting rights in the Company.</w:t>
            </w:r>
          </w:p>
        </w:tc>
      </w:tr>
      <w:tr>
        <w:trPr>
          <w:trHeight w:val="418"/>
        </w:trPr>
        <w:tc>
          <w:tcPr>
            <w:tcW w:w="420" w:type="dxa"/>
            <w:vAlign w:val="bottom"/>
          </w:tcPr>
          <w:p>
            <w:pPr>
              <w:spacing w:after="0"/>
              <w:rPr>
                <w:sz w:val="24"/>
                <w:szCs w:val="24"/>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In the event that the Board of Directors was required to convene a special meeting as stated above, it shall be convened within 21 days from the date</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upon which the demand was submitted to it, at a date determined in the notice upon the special meeting as stated in Clause 54.1 below and provided</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5"/>
              </w:rPr>
              <w:t>that the date of the meeting shall be not later than 35 days from the date of the publishing of the notice and all subject to the provisions of The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Companies Law and Clause 53.1 below.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10820" w:type="dxa"/>
            <w:vAlign w:val="bottom"/>
          </w:tcPr>
          <w:p>
            <w:pPr>
              <w:ind w:left="1200"/>
              <w:spacing w:after="0"/>
              <w:rPr>
                <w:sz w:val="20"/>
                <w:szCs w:val="20"/>
                <w:color w:val="auto"/>
              </w:rPr>
            </w:pPr>
            <w:r>
              <w:rPr>
                <w:rFonts w:ascii="Arial" w:cs="Arial" w:eastAsia="Arial" w:hAnsi="Arial"/>
                <w:sz w:val="18"/>
                <w:szCs w:val="18"/>
                <w:color w:val="auto"/>
                <w:w w:val="91"/>
              </w:rPr>
              <w:t>In the event that the Board of Directors fails to summon a special meeting as requested under Clause 50 above, the requesting party</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1"/>
              </w:rPr>
              <w:t>is entitled, and when one is speaking of shareholders-also part of them who have more than half of their voting rights, to convene the meeting itself,</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and provided that it shall not take place more than three months from the date of submission of the request as stated, and shall be convened, to such</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extent as possible, in the same manner as assemblies are convened by the Board of Directors.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52.</w:t>
            </w:r>
          </w:p>
        </w:tc>
        <w:tc>
          <w:tcPr>
            <w:tcW w:w="1082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52.1</w:t>
            </w:r>
          </w:p>
        </w:tc>
        <w:tc>
          <w:tcPr>
            <w:tcW w:w="10820" w:type="dxa"/>
            <w:vAlign w:val="bottom"/>
          </w:tcPr>
          <w:p>
            <w:pPr>
              <w:ind w:left="980"/>
              <w:spacing w:after="0"/>
              <w:rPr>
                <w:sz w:val="20"/>
                <w:szCs w:val="20"/>
                <w:color w:val="auto"/>
              </w:rPr>
            </w:pPr>
            <w:r>
              <w:rPr>
                <w:rFonts w:ascii="Arial" w:cs="Arial" w:eastAsia="Arial" w:hAnsi="Arial"/>
                <w:sz w:val="18"/>
                <w:szCs w:val="18"/>
                <w:color w:val="auto"/>
                <w:w w:val="91"/>
              </w:rPr>
              <w:t>The agenda of the general meeting shall be determined by the Board of Directors and shall include the matters for which the convening</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1"/>
              </w:rPr>
              <w:t>of the special meeting under Clause 50 above was requested as well as a subject requested as stated in Clause 52.2 below. The Board of Directors</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may include election of directors in an agenda of a special meeting.</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52.2</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One or more shareholders with at least 1% of the voting rights in the general meeting may request the Board of Directors to include a</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subject in the agenda of the general meeting which shall be convened in the future, and provided that the subject is appropriate for deliberation in the</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general meeting.</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52.3</w:t>
            </w:r>
          </w:p>
        </w:tc>
        <w:tc>
          <w:tcPr>
            <w:tcW w:w="10820" w:type="dxa"/>
            <w:vAlign w:val="bottom"/>
          </w:tcPr>
          <w:p>
            <w:pPr>
              <w:ind w:left="980"/>
              <w:spacing w:after="0"/>
              <w:rPr>
                <w:sz w:val="20"/>
                <w:szCs w:val="20"/>
                <w:color w:val="auto"/>
              </w:rPr>
            </w:pPr>
            <w:r>
              <w:rPr>
                <w:rFonts w:ascii="Arial" w:cs="Arial" w:eastAsia="Arial" w:hAnsi="Arial"/>
                <w:sz w:val="18"/>
                <w:szCs w:val="18"/>
                <w:color w:val="auto"/>
                <w:w w:val="90"/>
              </w:rPr>
              <w:t>A request as stated in Clause 52.2 above will be submitted to the Company in writing not less than 10 days from the date of notice of the</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0"/>
              </w:rPr>
              <w:t>convening of the general meeting and a text of the resolution which is proposed by the shareholder shall be attached to it as well as the details of his</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4"/>
              </w:rPr>
              <w:t>holdings in the Company (including indirect or derivative holdings), relationships and/or agreements between him and other shareholders in the</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2"/>
              </w:rPr>
              <w:t>Company and insofar as such request is in connection with the appointment of a director - also details regarding the director nominee (including all</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3"/>
              </w:rPr>
              <w:t>details required by law and reporting rules) and regarding relationships or agreements that the director nominee has with the shareholders of the</w:t>
            </w:r>
          </w:p>
        </w:tc>
      </w:tr>
      <w:tr>
        <w:trPr>
          <w:trHeight w:val="216"/>
        </w:trPr>
        <w:tc>
          <w:tcPr>
            <w:tcW w:w="420" w:type="dxa"/>
            <w:vAlign w:val="bottom"/>
          </w:tcPr>
          <w:p>
            <w:pPr>
              <w:spacing w:after="0"/>
              <w:rPr>
                <w:sz w:val="18"/>
                <w:szCs w:val="18"/>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w w:val="96"/>
              </w:rPr>
              <w:t>Company, and if the Company is listed for trading on the Nasdaq, whether he or she is eligible to be appointed as an independent director in</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accordance with Nasdaq Listing Rules.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53.</w:t>
            </w:r>
          </w:p>
        </w:tc>
        <w:tc>
          <w:tcPr>
            <w:tcW w:w="1082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53.1</w:t>
            </w:r>
          </w:p>
        </w:tc>
        <w:tc>
          <w:tcPr>
            <w:tcW w:w="10820" w:type="dxa"/>
            <w:vAlign w:val="bottom"/>
          </w:tcPr>
          <w:p>
            <w:pPr>
              <w:ind w:left="980"/>
              <w:spacing w:after="0"/>
              <w:rPr>
                <w:sz w:val="20"/>
                <w:szCs w:val="20"/>
                <w:color w:val="auto"/>
              </w:rPr>
            </w:pPr>
            <w:r>
              <w:rPr>
                <w:rFonts w:ascii="Arial" w:cs="Arial" w:eastAsia="Arial" w:hAnsi="Arial"/>
                <w:sz w:val="18"/>
                <w:szCs w:val="18"/>
                <w:color w:val="auto"/>
                <w:w w:val="92"/>
              </w:rPr>
              <w:t>Notice of the general meeting will be published in accordance with the requirements of the Law at least 14 days prior to the convening</w:t>
            </w:r>
          </w:p>
        </w:tc>
      </w:tr>
      <w:tr>
        <w:trPr>
          <w:trHeight w:val="230"/>
        </w:trPr>
        <w:tc>
          <w:tcPr>
            <w:tcW w:w="420" w:type="dxa"/>
            <w:vAlign w:val="bottom"/>
          </w:tcPr>
          <w:p>
            <w:pPr>
              <w:spacing w:after="0"/>
              <w:rPr>
                <w:sz w:val="20"/>
                <w:szCs w:val="20"/>
                <w:color w:val="auto"/>
              </w:rPr>
            </w:pPr>
          </w:p>
        </w:tc>
        <w:tc>
          <w:tcPr>
            <w:tcW w:w="10820" w:type="dxa"/>
            <w:vAlign w:val="bottom"/>
          </w:tcPr>
          <w:p>
            <w:pPr>
              <w:ind w:left="80"/>
              <w:spacing w:after="0"/>
              <w:rPr>
                <w:sz w:val="20"/>
                <w:szCs w:val="20"/>
                <w:color w:val="auto"/>
              </w:rPr>
            </w:pPr>
            <w:r>
              <w:rPr>
                <w:rFonts w:ascii="Arial" w:cs="Arial" w:eastAsia="Arial" w:hAnsi="Arial"/>
                <w:sz w:val="18"/>
                <w:szCs w:val="18"/>
                <w:color w:val="auto"/>
              </w:rPr>
              <w:t>of</w:t>
            </w:r>
          </w:p>
        </w:tc>
      </w:tr>
      <w:tr>
        <w:trPr>
          <w:trHeight w:val="891"/>
        </w:trPr>
        <w:tc>
          <w:tcPr>
            <w:tcW w:w="420" w:type="dxa"/>
            <w:vAlign w:val="bottom"/>
          </w:tcPr>
          <w:p>
            <w:pPr>
              <w:spacing w:after="0"/>
              <w:rPr>
                <w:sz w:val="24"/>
                <w:szCs w:val="24"/>
                <w:color w:val="auto"/>
              </w:rPr>
            </w:pPr>
          </w:p>
        </w:tc>
        <w:tc>
          <w:tcPr>
            <w:tcW w:w="1082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10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4"/>
              </w:rPr>
              <w:t>the meeting with the exception of notice of a general meeting with an agenda which includes the items specified in Article 87 of The Companies</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Law, which shall be published 35 days at least prior to its convening.</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53.2</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3"/>
              </w:rPr>
              <w:t>In addition to the notice upon the general meeting as stated in Clause 53.1 above, the Company will deliver notice upon the general</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meeting only to shareholders who are registered in the registry whose address is in Israel.</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54.</w:t>
            </w:r>
          </w:p>
        </w:tc>
        <w:tc>
          <w:tcPr>
            <w:tcW w:w="244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54.1</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3"/>
              </w:rPr>
              <w:t>In the notice upon the general meeting there shall be specified the place, the date and the time at which the general meeting shall be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convened and it shall include the agenda, a synopsis of the proposed resolutions, the required majority for the resolutions, the date of determination</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5"/>
              </w:rPr>
              <w:t>of the rights of all of the shareholders to vote in the general meeting and any other detail required at law. In the event that the Company shall</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0"/>
              </w:rPr>
              <w:t>determine that a postponed meeting shall be held at a date which is later than that determined in Article 78(b) of the Law, it shall indicate the date as</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mentioned in the notice.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54.2</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1"/>
              </w:rPr>
              <w:t>In a decision regarding the convening of an meeting, the Board of Directors is entitled to determine the manner of the detailing of these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2"/>
              </w:rPr>
              <w:t>issues on the agenda for the meeting, which will be delivered to such shareholders entitled to participate in the meeting, and all at the discretion of</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the Board of Directors and subject to the provisions of The Companies Law.</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54.3</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w w:val="96"/>
              </w:rPr>
              <w:t>Without detracting from the authorities of the Board of Directors as stated in this Clause 54 above, and without detracting from a</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4"/>
              </w:rPr>
              <w:t>generality of the provisions of these Articles with regard to the transfer of the authorities by the Board of Directors, the Board of Directors will be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entitled to transfer its authorities as stated in this Clause 54 above, to a Board of Directors committee and/or an officer in the Company, whether for</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the purpose of a certain general meeting or for a period of time.</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55.</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9"/>
              </w:rPr>
              <w:t>A good faith defect in the convening of a general meeting or its conduct, including a defect arising from non-fulfillment of a</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2"/>
              </w:rPr>
              <w:t>provision or condition determined in the Law or in these Articles, including with regard to the manner of the convening of the general meeting or its</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conduct, shall not invalidate any resolution passed in the general meeting and shall not prejudice the deliberations conducted therein, subject to the</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provisions of any Law.</w:t>
            </w:r>
          </w:p>
        </w:tc>
      </w:tr>
      <w:tr>
        <w:trPr>
          <w:trHeight w:val="392"/>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Deliberations in the General Meeting</w:t>
            </w:r>
          </w:p>
        </w:tc>
        <w:tc>
          <w:tcPr>
            <w:tcW w:w="8380" w:type="dxa"/>
            <w:vAlign w:val="bottom"/>
          </w:tcPr>
          <w:p>
            <w:pPr>
              <w:spacing w:after="0"/>
              <w:rPr>
                <w:sz w:val="24"/>
                <w:szCs w:val="24"/>
                <w:color w:val="auto"/>
              </w:rPr>
            </w:pPr>
          </w:p>
        </w:tc>
      </w:tr>
      <w:tr>
        <w:trPr>
          <w:trHeight w:val="438"/>
        </w:trPr>
        <w:tc>
          <w:tcPr>
            <w:tcW w:w="420" w:type="dxa"/>
            <w:vAlign w:val="bottom"/>
          </w:tcPr>
          <w:p>
            <w:pPr>
              <w:spacing w:after="0"/>
              <w:rPr>
                <w:sz w:val="20"/>
                <w:szCs w:val="20"/>
                <w:color w:val="auto"/>
              </w:rPr>
            </w:pPr>
            <w:r>
              <w:rPr>
                <w:rFonts w:ascii="Arial" w:cs="Arial" w:eastAsia="Arial" w:hAnsi="Arial"/>
                <w:sz w:val="18"/>
                <w:szCs w:val="18"/>
                <w:color w:val="auto"/>
              </w:rPr>
              <w:t>56.</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1"/>
              </w:rPr>
              <w:t>No deliberations may be commenced at the general meeting unless a legal quorum is present at the opening of the meeting. A legal</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quorum will be constituted when there are present, themselves or by proxy, a shareholder or shareholders who have at least one-third of the voting</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9"/>
              </w:rPr>
              <w:t>rights, within one-half of an hour from the time determined for the opening of the meeting, save if determined otherwise in these Articles.</w:t>
            </w:r>
          </w:p>
        </w:tc>
      </w:tr>
      <w:tr>
        <w:trPr>
          <w:trHeight w:val="891"/>
        </w:trPr>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2440" w:type="dxa"/>
            <w:vAlign w:val="bottom"/>
            <w:shd w:val="clear" w:color="auto" w:fill="000000"/>
          </w:tcPr>
          <w:p>
            <w:pPr>
              <w:spacing w:after="0"/>
              <w:rPr>
                <w:sz w:val="5"/>
                <w:szCs w:val="5"/>
                <w:color w:val="auto"/>
              </w:rPr>
            </w:pPr>
          </w:p>
        </w:tc>
        <w:tc>
          <w:tcPr>
            <w:tcW w:w="8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57.</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0"/>
              </w:rPr>
              <w:t>In the absence of a legal quorum at the general meeting at the expiry of half of an hour from a time determined for commencement of</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the meeting (or the expiry of some other time as determined by the Chairman of the meeting, but in any event no more than one hour), the meeting</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3"/>
              </w:rPr>
              <w:t>shall be postponed for seven days, for the same date at the same hour and in the same place, without the requirement to notify the shareholders</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0"/>
              </w:rPr>
              <w:t>thereupon and subject to the provisions of The Companies Law, the Securities Law and the Regulations promulgated under these laws, or some later</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2"/>
              </w:rPr>
              <w:t>date if indicated in the notice upon the meeting, or a date, hour and place which are different, as determined by the Board of Directors in the notice</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to the shareholders.</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58.</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8"/>
              </w:rPr>
              <w:t>A legal quorum for a postponed meeting shall be constituted when there are present, themselves or by proxy, one or more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2"/>
              </w:rPr>
              <w:t>shareholders who have at least one-third of the voting rights, within half of an hour from the time determined for the opening of the meeting. In the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absence of a legal quorum at the postponed meeting at the expiry of half of an hour from the time determined for commencement of the postponed</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2"/>
              </w:rPr>
              <w:t>meeting, any two shareholders present at the postponed meeting, themselves or by proxy, shall constitute legal quorum at the postponed meeting.</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59.</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1"/>
              </w:rPr>
              <w:t>The Chairman of the Board of Directors or, in his absence, any director appointed by the Board of Directors, will chair every general</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89"/>
              </w:rPr>
              <w:t>meeting of the Company. In the absence of a chairman as stated or if at some meeting none of these are present after the passage of 15 minutes from</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0"/>
              </w:rPr>
              <w:t>the time determined for commencement of the meeting or if they refuse to serve as Chairman of the meeting, the directors which are present may, by</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majority between them, elect a chairman from amongst them or from any of the officers in the Company present at the meeting, and if they fail to do</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so-the shareholders present will elect themselves or by proxy one of the directors or one of the officers present to chair the meeting. In the absence</w:t>
            </w:r>
          </w:p>
        </w:tc>
      </w:tr>
      <w:tr>
        <w:trPr>
          <w:trHeight w:val="216"/>
        </w:trPr>
        <w:tc>
          <w:tcPr>
            <w:tcW w:w="420" w:type="dxa"/>
            <w:vAlign w:val="bottom"/>
          </w:tcPr>
          <w:p>
            <w:pPr>
              <w:spacing w:after="0"/>
              <w:rPr>
                <w:sz w:val="18"/>
                <w:szCs w:val="18"/>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1"/>
              </w:rPr>
              <w:t>of directors or officers or if all of the directors or officers refuse to chair the meeting, one of the shareholders or their proxy as stated shall be elected</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rPr>
              <w:t>to chair the meeting.</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60.</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rPr>
              <w:t>The Company shall maintain minutes of the proceedings in the general meeting which shall include the following details: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60.1</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rPr>
              <w:t>The names of the shareholders participating in the general meeting and the number of shares held by them.</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60.2</w:t>
            </w:r>
          </w:p>
        </w:tc>
        <w:tc>
          <w:tcPr>
            <w:tcW w:w="10820" w:type="dxa"/>
            <w:vAlign w:val="bottom"/>
            <w:gridSpan w:val="2"/>
          </w:tcPr>
          <w:p>
            <w:pPr>
              <w:ind w:left="980"/>
              <w:spacing w:after="0"/>
              <w:rPr>
                <w:sz w:val="20"/>
                <w:szCs w:val="20"/>
                <w:color w:val="auto"/>
              </w:rPr>
            </w:pPr>
            <w:r>
              <w:rPr>
                <w:rFonts w:ascii="Arial" w:cs="Arial" w:eastAsia="Arial" w:hAnsi="Arial"/>
                <w:sz w:val="18"/>
                <w:szCs w:val="18"/>
                <w:color w:val="auto"/>
              </w:rPr>
              <w:t>The matters discussed at the general meeting and the resolution is passed.</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61.</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rPr>
              <w:t>Minutes which are signed by the chairman of the general meeting constitute prima facie evidence to their content.</w:t>
            </w:r>
          </w:p>
        </w:tc>
      </w:tr>
      <w:tr>
        <w:trPr>
          <w:trHeight w:val="392"/>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Voting and the Passage of Resolutions at the General Meeting</w:t>
            </w:r>
          </w:p>
        </w:tc>
      </w:tr>
      <w:tr>
        <w:trPr>
          <w:trHeight w:val="20"/>
        </w:trPr>
        <w:tc>
          <w:tcPr>
            <w:tcW w:w="4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38"/>
        </w:trPr>
        <w:tc>
          <w:tcPr>
            <w:tcW w:w="420" w:type="dxa"/>
            <w:vAlign w:val="bottom"/>
          </w:tcPr>
          <w:p>
            <w:pPr>
              <w:spacing w:after="0"/>
              <w:rPr>
                <w:sz w:val="20"/>
                <w:szCs w:val="20"/>
                <w:color w:val="auto"/>
              </w:rPr>
            </w:pPr>
            <w:r>
              <w:rPr>
                <w:rFonts w:ascii="Arial" w:cs="Arial" w:eastAsia="Arial" w:hAnsi="Arial"/>
                <w:sz w:val="18"/>
                <w:szCs w:val="18"/>
                <w:color w:val="auto"/>
              </w:rPr>
              <w:t>62.</w:t>
            </w:r>
          </w:p>
        </w:tc>
        <w:tc>
          <w:tcPr>
            <w:tcW w:w="10820" w:type="dxa"/>
            <w:vAlign w:val="bottom"/>
            <w:gridSpan w:val="2"/>
          </w:tcPr>
          <w:p>
            <w:pPr>
              <w:ind w:left="1200"/>
              <w:spacing w:after="0"/>
              <w:rPr>
                <w:sz w:val="20"/>
                <w:szCs w:val="20"/>
                <w:color w:val="auto"/>
              </w:rPr>
            </w:pPr>
            <w:r>
              <w:rPr>
                <w:rFonts w:ascii="Arial" w:cs="Arial" w:eastAsia="Arial" w:hAnsi="Arial"/>
                <w:sz w:val="18"/>
                <w:szCs w:val="18"/>
                <w:color w:val="auto"/>
                <w:w w:val="96"/>
              </w:rPr>
              <w:t>A shareholder wishing to vote at the general meeting shall prove to the company his ownership in a share as required by The</w:t>
            </w:r>
          </w:p>
        </w:tc>
      </w:tr>
      <w:tr>
        <w:trPr>
          <w:trHeight w:val="230"/>
        </w:trPr>
        <w:tc>
          <w:tcPr>
            <w:tcW w:w="420" w:type="dxa"/>
            <w:vAlign w:val="bottom"/>
          </w:tcPr>
          <w:p>
            <w:pPr>
              <w:spacing w:after="0"/>
              <w:rPr>
                <w:sz w:val="20"/>
                <w:szCs w:val="20"/>
                <w:color w:val="auto"/>
              </w:rPr>
            </w:pPr>
          </w:p>
        </w:tc>
        <w:tc>
          <w:tcPr>
            <w:tcW w:w="10820" w:type="dxa"/>
            <w:vAlign w:val="bottom"/>
            <w:gridSpan w:val="2"/>
          </w:tcPr>
          <w:p>
            <w:pPr>
              <w:ind w:left="80"/>
              <w:spacing w:after="0"/>
              <w:rPr>
                <w:sz w:val="20"/>
                <w:szCs w:val="20"/>
                <w:color w:val="auto"/>
              </w:rPr>
            </w:pPr>
            <w:r>
              <w:rPr>
                <w:rFonts w:ascii="Arial" w:cs="Arial" w:eastAsia="Arial" w:hAnsi="Arial"/>
                <w:sz w:val="18"/>
                <w:szCs w:val="18"/>
                <w:color w:val="auto"/>
                <w:w w:val="98"/>
              </w:rPr>
              <w:t>Companies Law and the Companies Ordinance (proof of ownership of share for a purpose of voting at general meeting) — 2000. Without</w:t>
            </w:r>
          </w:p>
        </w:tc>
      </w:tr>
      <w:tr>
        <w:trPr>
          <w:trHeight w:val="891"/>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68"/>
        </w:trPr>
        <w:tc>
          <w:tcPr>
            <w:tcW w:w="42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6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the detracting from the generality of that stated above, the Board of Directors is entitled to determine provisions and procedures regarding the proof</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of ownership of shares in the company.</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63.</w:t>
            </w:r>
          </w:p>
        </w:tc>
        <w:tc>
          <w:tcPr>
            <w:tcW w:w="10880" w:type="dxa"/>
            <w:vAlign w:val="bottom"/>
          </w:tcPr>
          <w:p>
            <w:pPr>
              <w:ind w:left="1260"/>
              <w:spacing w:after="0"/>
              <w:rPr>
                <w:sz w:val="20"/>
                <w:szCs w:val="20"/>
                <w:color w:val="auto"/>
              </w:rPr>
            </w:pPr>
            <w:r>
              <w:rPr>
                <w:rFonts w:ascii="Arial" w:cs="Arial" w:eastAsia="Arial" w:hAnsi="Arial"/>
                <w:sz w:val="18"/>
                <w:szCs w:val="18"/>
                <w:color w:val="auto"/>
                <w:w w:val="98"/>
              </w:rPr>
              <w:t>A shareholder is entitled to vote in the general meeting or in a class meeting, himself or by proxy, all in accordance with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6"/>
              </w:rPr>
              <w:t>provisions of these Articles and subject to the provisions of The Companies Law. A proxy for a vote is not required to be a shareholder in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company. Voting in the general meeting of the Company by means of a voting deed, in accordance with the provisions of The Companies Law and</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the regulations there under, will be possible solely and exclusively on issues specified in Articles 87A(1) — 87A(3) and 87A(5), of The Companies</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Law.</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64.</w:t>
            </w:r>
          </w:p>
        </w:tc>
        <w:tc>
          <w:tcPr>
            <w:tcW w:w="10880" w:type="dxa"/>
            <w:vAlign w:val="bottom"/>
          </w:tcPr>
          <w:p>
            <w:pPr>
              <w:ind w:left="1260"/>
              <w:spacing w:after="0"/>
              <w:rPr>
                <w:sz w:val="20"/>
                <w:szCs w:val="20"/>
                <w:color w:val="auto"/>
              </w:rPr>
            </w:pPr>
            <w:r>
              <w:rPr>
                <w:rFonts w:ascii="Arial" w:cs="Arial" w:eastAsia="Arial" w:hAnsi="Arial"/>
                <w:sz w:val="18"/>
                <w:szCs w:val="18"/>
                <w:color w:val="auto"/>
                <w:w w:val="92"/>
              </w:rPr>
              <w:t>Subject to the provisions of applicable Law, in an instance of joint ownership in a share, any one of them may vote at any meeting,</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7"/>
              </w:rPr>
              <w:t>whether himself or by proxy, in relation to such share, as though he was the sole party entitled to it. If more than one joint owner of a share</w:t>
            </w:r>
          </w:p>
        </w:tc>
      </w:tr>
      <w:tr>
        <w:trPr>
          <w:trHeight w:val="212"/>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4"/>
              </w:rPr>
              <w:t>participates in an meeting, himself or by proxy, the vote will be made by the party whose name appears first in the registry of shareholders with</w:t>
            </w:r>
          </w:p>
        </w:tc>
      </w:tr>
      <w:tr>
        <w:trPr>
          <w:trHeight w:val="220"/>
        </w:trPr>
        <w:tc>
          <w:tcPr>
            <w:tcW w:w="36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 xml:space="preserve">regard to the share or in the confirmation of the stock exchange member with regard to the ownership in the share </w:t>
            </w:r>
            <w:r>
              <w:rPr>
                <w:rFonts w:ascii="Arial" w:cs="Arial" w:eastAsia="Arial" w:hAnsi="Arial"/>
                <w:sz w:val="18"/>
                <w:szCs w:val="18"/>
                <w:b w:val="1"/>
                <w:bCs w:val="1"/>
                <w:color w:val="auto"/>
                <w:w w:val="91"/>
              </w:rPr>
              <w:t>(“confirmation of ownership”),</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or some other document determined by the Board of Directors for such matter, as the case maybe. Individual legal guardians or individual executors</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of estate over a registered shareholder who is deceased, shall be considered for purposes of this clause as joint owners in these shares. Without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detracting from that stated above, in an instance where more than one shareholder is registered in the registry of shareholders of the Company as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4"/>
              </w:rPr>
              <w:t>holder of a share, the Company shall view the first person registered in the registry of shareholders as the legal representative of the remaining</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parties registered as holding the share, save if a document was delivered to the company, signed by the majority of the registered owners of the</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share, or a court order, indicating the name of some other registered owner as the representative of the holders of the share.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65.</w:t>
            </w:r>
          </w:p>
        </w:tc>
        <w:tc>
          <w:tcPr>
            <w:tcW w:w="10880" w:type="dxa"/>
            <w:vAlign w:val="bottom"/>
          </w:tcPr>
          <w:p>
            <w:pPr>
              <w:ind w:left="1260"/>
              <w:spacing w:after="0"/>
              <w:rPr>
                <w:sz w:val="20"/>
                <w:szCs w:val="20"/>
                <w:color w:val="auto"/>
              </w:rPr>
            </w:pPr>
            <w:r>
              <w:rPr>
                <w:rFonts w:ascii="Arial" w:cs="Arial" w:eastAsia="Arial" w:hAnsi="Arial"/>
                <w:sz w:val="18"/>
                <w:szCs w:val="18"/>
                <w:color w:val="auto"/>
                <w:w w:val="90"/>
              </w:rPr>
              <w:t>Every party entitled to a share under clause 28 above, is entitled to vote by virtue thereof in any general meeting in the same manner</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as though he was the registered owner of such shares and provided that he shall prove to the satisfaction of the Board of Directors his entitlement to</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the share at least 48 hours prior to the date of the general meeting or the postponed meeting, as the case maybe, in which he intends to vote, save if</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the Company has previously recognized his right to vote by virtue of the shares at such meeting.</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66.</w:t>
            </w:r>
          </w:p>
        </w:tc>
        <w:tc>
          <w:tcPr>
            <w:tcW w:w="10880" w:type="dxa"/>
            <w:vAlign w:val="bottom"/>
          </w:tcPr>
          <w:p>
            <w:pPr>
              <w:ind w:left="1260"/>
              <w:spacing w:after="0"/>
              <w:rPr>
                <w:sz w:val="20"/>
                <w:szCs w:val="20"/>
                <w:color w:val="auto"/>
              </w:rPr>
            </w:pPr>
            <w:r>
              <w:rPr>
                <w:rFonts w:ascii="Arial" w:cs="Arial" w:eastAsia="Arial" w:hAnsi="Arial"/>
                <w:sz w:val="18"/>
                <w:szCs w:val="18"/>
                <w:color w:val="auto"/>
                <w:w w:val="92"/>
              </w:rPr>
              <w:t xml:space="preserve">A document appointing a proxy for a vote </w:t>
            </w:r>
            <w:r>
              <w:rPr>
                <w:rFonts w:ascii="Arial" w:cs="Arial" w:eastAsia="Arial" w:hAnsi="Arial"/>
                <w:sz w:val="18"/>
                <w:szCs w:val="18"/>
                <w:b w:val="1"/>
                <w:bCs w:val="1"/>
                <w:color w:val="auto"/>
                <w:w w:val="92"/>
              </w:rPr>
              <w:t>(“deed of appointment”)</w:t>
            </w:r>
            <w:r>
              <w:rPr>
                <w:rFonts w:ascii="Arial" w:cs="Arial" w:eastAsia="Arial" w:hAnsi="Arial"/>
                <w:sz w:val="18"/>
                <w:szCs w:val="18"/>
                <w:color w:val="auto"/>
                <w:w w:val="92"/>
              </w:rPr>
              <w:t xml:space="preserve"> shall be made in writing and shall be signed by the appointing</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party, and if the appointing party is a corporation, the deed of an appointment shall be made in writing and shall be signed in a manner binding the</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7"/>
              </w:rPr>
              <w:t>corporation. The Board of Directors is entitled to require delivery to the Company prior to the convening of the meeting, of a confirmation in</w:t>
            </w:r>
          </w:p>
        </w:tc>
      </w:tr>
      <w:tr>
        <w:trPr>
          <w:trHeight w:val="216"/>
        </w:trPr>
        <w:tc>
          <w:tcPr>
            <w:tcW w:w="36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5"/>
              </w:rPr>
              <w:t>writing, to the satisfaction of the Board of Directors, regarding the authority of the signatories to bind the corporation. The Board of Directors is</w:t>
            </w:r>
          </w:p>
        </w:tc>
      </w:tr>
      <w:tr>
        <w:trPr>
          <w:trHeight w:val="230"/>
        </w:trPr>
        <w:tc>
          <w:tcPr>
            <w:tcW w:w="360" w:type="dxa"/>
            <w:vAlign w:val="bottom"/>
          </w:tcPr>
          <w:p>
            <w:pPr>
              <w:spacing w:after="0"/>
              <w:rPr>
                <w:sz w:val="20"/>
                <w:szCs w:val="20"/>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further entitled to determine provisions and procedures in everything related thereto.</w:t>
            </w:r>
          </w:p>
        </w:tc>
      </w:tr>
      <w:tr>
        <w:trPr>
          <w:trHeight w:val="891"/>
        </w:trPr>
        <w:tc>
          <w:tcPr>
            <w:tcW w:w="360" w:type="dxa"/>
            <w:vAlign w:val="bottom"/>
          </w:tcPr>
          <w:p>
            <w:pPr>
              <w:spacing w:after="0"/>
              <w:rPr>
                <w:sz w:val="24"/>
                <w:szCs w:val="24"/>
                <w:color w:val="auto"/>
              </w:rPr>
            </w:pPr>
          </w:p>
        </w:tc>
        <w:tc>
          <w:tcPr>
            <w:tcW w:w="1088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10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66.</w:t>
            </w:r>
          </w:p>
        </w:tc>
        <w:tc>
          <w:tcPr>
            <w:tcW w:w="10680" w:type="dxa"/>
            <w:vAlign w:val="bottom"/>
          </w:tcPr>
          <w:p>
            <w:pPr>
              <w:ind w:left="1260"/>
              <w:spacing w:after="0"/>
              <w:rPr>
                <w:sz w:val="20"/>
                <w:szCs w:val="20"/>
                <w:color w:val="auto"/>
              </w:rPr>
            </w:pPr>
            <w:r>
              <w:rPr>
                <w:rFonts w:ascii="Arial" w:cs="Arial" w:eastAsia="Arial" w:hAnsi="Arial"/>
                <w:sz w:val="18"/>
                <w:szCs w:val="18"/>
                <w:color w:val="auto"/>
                <w:w w:val="92"/>
              </w:rPr>
              <w:t>A deed of appointment or a suitable copy thereof, to the satisfaction of the Board of Directors, will be deposited at the registered</w:t>
            </w:r>
          </w:p>
        </w:tc>
      </w:tr>
      <w:tr>
        <w:trPr>
          <w:trHeight w:val="216"/>
        </w:trPr>
        <w:tc>
          <w:tcPr>
            <w:tcW w:w="36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1"/>
              </w:rPr>
              <w:t>office or some other place or places, in Israel or outside of Israel - as shall be determined by the Board of Directors from time to time, generally or</w:t>
            </w:r>
          </w:p>
        </w:tc>
      </w:tr>
      <w:tr>
        <w:trPr>
          <w:trHeight w:val="216"/>
        </w:trPr>
        <w:tc>
          <w:tcPr>
            <w:tcW w:w="36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0"/>
              </w:rPr>
              <w:t>for a specific instance - at least 48 hours prior to commencement of the meeting or the postponed meeting, as the case maybe, in which the proxy</w:t>
            </w:r>
          </w:p>
        </w:tc>
      </w:tr>
      <w:tr>
        <w:trPr>
          <w:trHeight w:val="216"/>
        </w:trPr>
        <w:tc>
          <w:tcPr>
            <w:tcW w:w="36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0"/>
              </w:rPr>
              <w:t>intends to vote in reliance upon such deed of appointment. Notwithstanding, that stated above, the chairman of the meeting may, at his discretion,</w:t>
            </w:r>
          </w:p>
        </w:tc>
      </w:tr>
      <w:tr>
        <w:trPr>
          <w:trHeight w:val="216"/>
        </w:trPr>
        <w:tc>
          <w:tcPr>
            <w:tcW w:w="360" w:type="dxa"/>
            <w:vAlign w:val="bottom"/>
          </w:tcPr>
          <w:p>
            <w:pPr>
              <w:spacing w:after="0"/>
              <w:rPr>
                <w:sz w:val="18"/>
                <w:szCs w:val="18"/>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w w:val="90"/>
              </w:rPr>
              <w:t>accept such deed of appointment also after the time as stated, if he deems this appropriate, at his discretion. If a deed of appointment shall not be</w:t>
            </w:r>
          </w:p>
        </w:tc>
      </w:tr>
      <w:tr>
        <w:trPr>
          <w:trHeight w:val="230"/>
        </w:trPr>
        <w:tc>
          <w:tcPr>
            <w:tcW w:w="36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received as stated in this clause above, it shall not be valid in such meeting.</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67.</w:t>
            </w:r>
          </w:p>
        </w:tc>
        <w:tc>
          <w:tcPr>
            <w:tcW w:w="10680" w:type="dxa"/>
            <w:vAlign w:val="bottom"/>
          </w:tcPr>
          <w:p>
            <w:pPr>
              <w:ind w:left="1260"/>
              <w:spacing w:after="0"/>
              <w:rPr>
                <w:sz w:val="20"/>
                <w:szCs w:val="20"/>
                <w:color w:val="auto"/>
              </w:rPr>
            </w:pPr>
            <w:r>
              <w:rPr>
                <w:rFonts w:ascii="Arial" w:cs="Arial" w:eastAsia="Arial" w:hAnsi="Arial"/>
                <w:sz w:val="18"/>
                <w:szCs w:val="18"/>
                <w:color w:val="auto"/>
                <w:w w:val="94"/>
              </w:rPr>
              <w:t>A proxy for a vote is entitled to participate in deliberations of the general meeting and to be elected as a chairman as was the</w:t>
            </w:r>
          </w:p>
        </w:tc>
      </w:tr>
      <w:tr>
        <w:trPr>
          <w:trHeight w:val="230"/>
        </w:trPr>
        <w:tc>
          <w:tcPr>
            <w:tcW w:w="360" w:type="dxa"/>
            <w:vAlign w:val="bottom"/>
          </w:tcPr>
          <w:p>
            <w:pPr>
              <w:spacing w:after="0"/>
              <w:rPr>
                <w:sz w:val="20"/>
                <w:szCs w:val="20"/>
                <w:color w:val="auto"/>
              </w:rPr>
            </w:pPr>
          </w:p>
        </w:tc>
        <w:tc>
          <w:tcPr>
            <w:tcW w:w="10680" w:type="dxa"/>
            <w:vAlign w:val="bottom"/>
          </w:tcPr>
          <w:p>
            <w:pPr>
              <w:ind w:left="140"/>
              <w:spacing w:after="0"/>
              <w:rPr>
                <w:sz w:val="20"/>
                <w:szCs w:val="20"/>
                <w:color w:val="auto"/>
              </w:rPr>
            </w:pPr>
            <w:r>
              <w:rPr>
                <w:rFonts w:ascii="Arial" w:cs="Arial" w:eastAsia="Arial" w:hAnsi="Arial"/>
                <w:sz w:val="18"/>
                <w:szCs w:val="18"/>
                <w:color w:val="auto"/>
              </w:rPr>
              <w:t>shareholder appointing him, and provided that it was not indicated otherwise in the deed of appointment.</w:t>
            </w:r>
          </w:p>
        </w:tc>
      </w:tr>
    </w:tbl>
    <w:p>
      <w:pPr>
        <w:spacing w:after="0" w:line="202" w:lineRule="exact"/>
        <w:rPr>
          <w:sz w:val="20"/>
          <w:szCs w:val="20"/>
          <w:color w:val="auto"/>
        </w:rPr>
      </w:pPr>
    </w:p>
    <w:p>
      <w:pPr>
        <w:ind w:left="500" w:right="400" w:hanging="494"/>
        <w:spacing w:after="0" w:line="277" w:lineRule="auto"/>
        <w:tabs>
          <w:tab w:leader="none" w:pos="480" w:val="left"/>
        </w:tabs>
        <w:rPr>
          <w:sz w:val="20"/>
          <w:szCs w:val="20"/>
          <w:color w:val="auto"/>
        </w:rPr>
      </w:pPr>
      <w:r>
        <w:rPr>
          <w:rFonts w:ascii="Arial" w:cs="Arial" w:eastAsia="Arial" w:hAnsi="Arial"/>
          <w:sz w:val="18"/>
          <w:szCs w:val="18"/>
          <w:color w:val="auto"/>
        </w:rPr>
        <w:t>67.1.</w:t>
        <w:tab/>
        <w:t>A deed of appointment appointing a proxy for vote shall be in the format customary in Israel or in any other format approved by the Board of Directors.</w:t>
      </w:r>
    </w:p>
    <w:p>
      <w:pPr>
        <w:spacing w:after="0" w:line="170" w:lineRule="exact"/>
        <w:rPr>
          <w:sz w:val="20"/>
          <w:szCs w:val="20"/>
          <w:color w:val="auto"/>
        </w:rPr>
      </w:pPr>
    </w:p>
    <w:p>
      <w:pPr>
        <w:jc w:val="both"/>
        <w:ind w:left="500" w:right="100" w:hanging="494"/>
        <w:spacing w:after="0" w:line="279" w:lineRule="auto"/>
        <w:tabs>
          <w:tab w:leader="none" w:pos="48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7"/>
          <w:szCs w:val="17"/>
          <w:color w:val="auto"/>
        </w:rPr>
        <w:t>The deed of appointment will indicate the class and the number of shares in respect of which it was issued. In the absence of indication in the deed of appointment of the number of shares in respect of which it was issued or an indication therein of a number of shares which is higher than the number of shares registered in the name of the shareholder or which are indicated in the confirmation of ownership, as the case maybe, the deed of appointment will be deemed to have been issued in respect of all of the shares of the shareholder.</w:t>
      </w:r>
    </w:p>
    <w:p>
      <w:pPr>
        <w:spacing w:after="0" w:line="171" w:lineRule="exact"/>
        <w:rPr>
          <w:sz w:val="20"/>
          <w:szCs w:val="20"/>
          <w:color w:val="auto"/>
        </w:rPr>
      </w:pPr>
    </w:p>
    <w:p>
      <w:pPr>
        <w:ind w:left="500" w:hanging="494"/>
        <w:spacing w:after="0" w:line="259" w:lineRule="auto"/>
        <w:tabs>
          <w:tab w:leader="none" w:pos="480" w:val="left"/>
        </w:tabs>
        <w:rPr>
          <w:sz w:val="20"/>
          <w:szCs w:val="20"/>
          <w:color w:val="auto"/>
        </w:rPr>
      </w:pPr>
      <w:r>
        <w:rPr>
          <w:rFonts w:ascii="Arial" w:cs="Arial" w:eastAsia="Arial" w:hAnsi="Arial"/>
          <w:sz w:val="18"/>
          <w:szCs w:val="18"/>
          <w:color w:val="auto"/>
        </w:rPr>
        <w:t>67.3.</w:t>
        <w:tab/>
        <w:t>In the event that the deed of appointment was issued in respect of a number of shares which is lower than the number of shares registered in the name of the shareholder or indicated in the confirmation of ownership, as the case maybe, the shareholder will be deemed as refraining from appearing at the vote in respect of the balance of the shares and the deed of appointment will be valid in respect of number of shares indicated therein.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68.</w:t>
            </w:r>
          </w:p>
        </w:tc>
        <w:tc>
          <w:tcPr>
            <w:tcW w:w="10720" w:type="dxa"/>
            <w:vAlign w:val="bottom"/>
          </w:tcPr>
          <w:p>
            <w:pPr>
              <w:ind w:left="1260"/>
              <w:spacing w:after="0"/>
              <w:rPr>
                <w:sz w:val="20"/>
                <w:szCs w:val="20"/>
                <w:color w:val="auto"/>
              </w:rPr>
            </w:pPr>
            <w:r>
              <w:rPr>
                <w:rFonts w:ascii="Arial" w:cs="Arial" w:eastAsia="Arial" w:hAnsi="Arial"/>
                <w:sz w:val="18"/>
                <w:szCs w:val="18"/>
                <w:color w:val="auto"/>
                <w:w w:val="91"/>
              </w:rPr>
              <w:t>Without detracting from the provisions of these Articles with regard to the appointment of a proxy for a vote, a shareholder holding</w:t>
            </w:r>
          </w:p>
        </w:tc>
      </w:tr>
      <w:tr>
        <w:trPr>
          <w:trHeight w:val="230"/>
        </w:trPr>
        <w:tc>
          <w:tcPr>
            <w:tcW w:w="360" w:type="dxa"/>
            <w:vAlign w:val="bottom"/>
          </w:tcPr>
          <w:p>
            <w:pPr>
              <w:spacing w:after="0"/>
              <w:rPr>
                <w:sz w:val="20"/>
                <w:szCs w:val="20"/>
                <w:color w:val="auto"/>
              </w:rPr>
            </w:pPr>
          </w:p>
        </w:tc>
        <w:tc>
          <w:tcPr>
            <w:tcW w:w="10720" w:type="dxa"/>
            <w:vAlign w:val="bottom"/>
          </w:tcPr>
          <w:p>
            <w:pPr>
              <w:ind w:left="140"/>
              <w:spacing w:after="0"/>
              <w:rPr>
                <w:sz w:val="20"/>
                <w:szCs w:val="20"/>
                <w:color w:val="auto"/>
              </w:rPr>
            </w:pPr>
            <w:r>
              <w:rPr>
                <w:rFonts w:ascii="Arial" w:cs="Arial" w:eastAsia="Arial" w:hAnsi="Arial"/>
                <w:sz w:val="18"/>
                <w:szCs w:val="18"/>
                <w:color w:val="auto"/>
              </w:rPr>
              <w:t>more than one share will be entitled to appoint more than one proxy subject to the following provisions:</w:t>
            </w:r>
          </w:p>
        </w:tc>
      </w:tr>
    </w:tbl>
    <w:p>
      <w:pPr>
        <w:spacing w:after="0" w:line="20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68.1.</w:t>
      </w:r>
      <w:r>
        <w:rPr>
          <w:sz w:val="20"/>
          <w:szCs w:val="20"/>
          <w:color w:val="auto"/>
        </w:rPr>
        <w:tab/>
      </w:r>
      <w:r>
        <w:rPr>
          <w:rFonts w:ascii="Arial" w:cs="Arial" w:eastAsia="Arial" w:hAnsi="Arial"/>
          <w:sz w:val="16"/>
          <w:szCs w:val="16"/>
          <w:color w:val="auto"/>
        </w:rPr>
        <w:t>Each deed of appointment will indicate the class and the number of shares in respect of which it was issued.</w:t>
      </w:r>
    </w:p>
    <w:p>
      <w:pPr>
        <w:spacing w:after="0" w:line="225" w:lineRule="exact"/>
        <w:rPr>
          <w:sz w:val="20"/>
          <w:szCs w:val="20"/>
          <w:color w:val="auto"/>
        </w:rPr>
      </w:pPr>
    </w:p>
    <w:p>
      <w:pPr>
        <w:ind w:left="500" w:right="40" w:hanging="494"/>
        <w:spacing w:after="0" w:line="263" w:lineRule="auto"/>
        <w:tabs>
          <w:tab w:leader="none" w:pos="480" w:val="left"/>
        </w:tabs>
        <w:rPr>
          <w:sz w:val="20"/>
          <w:szCs w:val="20"/>
          <w:color w:val="auto"/>
        </w:rPr>
      </w:pPr>
      <w:r>
        <w:rPr>
          <w:rFonts w:ascii="Arial" w:cs="Arial" w:eastAsia="Arial" w:hAnsi="Arial"/>
          <w:sz w:val="18"/>
          <w:szCs w:val="18"/>
          <w:color w:val="auto"/>
        </w:rPr>
        <w:t>68.2.</w:t>
        <w:tab/>
        <w:t>In the event that the total number of shares of any class indicated in deeds of appointment issued by one shareholder shall exceed the number of shares of such class registered in his name or indicated in the confirmation of ownership, as the case maybe, all the deeds of appointment issued by such shareholder shall be invalidated.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69.</w:t>
            </w:r>
          </w:p>
        </w:tc>
        <w:tc>
          <w:tcPr>
            <w:tcW w:w="10860" w:type="dxa"/>
            <w:vAlign w:val="bottom"/>
          </w:tcPr>
          <w:p>
            <w:pPr>
              <w:ind w:left="1260"/>
              <w:spacing w:after="0"/>
              <w:rPr>
                <w:sz w:val="20"/>
                <w:szCs w:val="20"/>
                <w:color w:val="auto"/>
              </w:rPr>
            </w:pPr>
            <w:r>
              <w:rPr>
                <w:rFonts w:ascii="Arial" w:cs="Arial" w:eastAsia="Arial" w:hAnsi="Arial"/>
                <w:sz w:val="18"/>
                <w:szCs w:val="18"/>
                <w:color w:val="auto"/>
                <w:w w:val="91"/>
              </w:rPr>
              <w:t>A shareholder or a proxy is entitled to vote a part of the shares which are owned by him or for which he is a proxy, and is entitled to</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vote part of the shares in one manner and part of the shares in another manner.</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70.</w:t>
            </w:r>
          </w:p>
        </w:tc>
        <w:tc>
          <w:tcPr>
            <w:tcW w:w="10860" w:type="dxa"/>
            <w:vAlign w:val="bottom"/>
          </w:tcPr>
          <w:p>
            <w:pPr>
              <w:ind w:left="1260"/>
              <w:spacing w:after="0"/>
              <w:rPr>
                <w:sz w:val="20"/>
                <w:szCs w:val="20"/>
                <w:color w:val="auto"/>
              </w:rPr>
            </w:pPr>
            <w:r>
              <w:rPr>
                <w:rFonts w:ascii="Arial" w:cs="Arial" w:eastAsia="Arial" w:hAnsi="Arial"/>
                <w:sz w:val="18"/>
                <w:szCs w:val="18"/>
                <w:color w:val="auto"/>
                <w:w w:val="95"/>
              </w:rPr>
              <w:t>A vote made by virtue of a deed of appointment shall be valid even if prior to the vote the appointing party passed away or was</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89"/>
              </w:rPr>
              <w:t>declared incompetent or the deed of appointment was canceled or the share was transferred in respect of which the deed of appointment was granted,</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save if notice was received at the office prior to the meeting, in writing, with regard to the death, incapacity, cancellation or transfer, as the case may</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4"/>
              </w:rPr>
              <w:t>be. Notwithstanding that stated above, the chairman of the meeting is entitled, at his discretion, to receive such notice as stated also during the</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course of the meeting, if he deems this appropriate at his discretion.</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71.</w:t>
            </w:r>
          </w:p>
        </w:tc>
        <w:tc>
          <w:tcPr>
            <w:tcW w:w="10860" w:type="dxa"/>
            <w:vAlign w:val="bottom"/>
          </w:tcPr>
          <w:p>
            <w:pPr>
              <w:ind w:left="1260"/>
              <w:spacing w:after="0"/>
              <w:rPr>
                <w:sz w:val="20"/>
                <w:szCs w:val="20"/>
                <w:color w:val="auto"/>
              </w:rPr>
            </w:pPr>
            <w:r>
              <w:rPr>
                <w:rFonts w:ascii="Arial" w:cs="Arial" w:eastAsia="Arial" w:hAnsi="Arial"/>
                <w:sz w:val="18"/>
                <w:szCs w:val="18"/>
                <w:color w:val="auto"/>
                <w:w w:val="93"/>
              </w:rPr>
              <w:t>A deed of appointment shall be valid also with regard to any postponed meeting or an meeting to which the deed of appointment</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relates, and provided that it was not indicated otherwise in the deed of appointment.</w:t>
            </w:r>
          </w:p>
        </w:tc>
      </w:tr>
      <w:tr>
        <w:trPr>
          <w:trHeight w:val="432"/>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72.</w:t>
            </w:r>
          </w:p>
        </w:tc>
        <w:tc>
          <w:tcPr>
            <w:tcW w:w="10860" w:type="dxa"/>
            <w:vAlign w:val="bottom"/>
          </w:tcPr>
          <w:p>
            <w:pPr>
              <w:ind w:left="1260"/>
              <w:spacing w:after="0"/>
              <w:rPr>
                <w:sz w:val="20"/>
                <w:szCs w:val="20"/>
                <w:color w:val="auto"/>
              </w:rPr>
            </w:pPr>
            <w:r>
              <w:rPr>
                <w:rFonts w:ascii="Arial" w:cs="Arial" w:eastAsia="Arial" w:hAnsi="Arial"/>
                <w:sz w:val="18"/>
                <w:szCs w:val="18"/>
                <w:color w:val="auto"/>
              </w:rPr>
              <w:t>Every ordinary share entitles its owner to participate in the general meeting of the Company and to one vote.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73.</w:t>
            </w:r>
          </w:p>
        </w:tc>
        <w:tc>
          <w:tcPr>
            <w:tcW w:w="10860" w:type="dxa"/>
            <w:vAlign w:val="bottom"/>
          </w:tcPr>
          <w:p>
            <w:pPr>
              <w:ind w:left="1260"/>
              <w:spacing w:after="0"/>
              <w:rPr>
                <w:sz w:val="20"/>
                <w:szCs w:val="20"/>
                <w:color w:val="auto"/>
              </w:rPr>
            </w:pPr>
            <w:r>
              <w:rPr>
                <w:rFonts w:ascii="Arial" w:cs="Arial" w:eastAsia="Arial" w:hAnsi="Arial"/>
                <w:sz w:val="18"/>
                <w:szCs w:val="18"/>
                <w:color w:val="auto"/>
                <w:w w:val="94"/>
              </w:rPr>
              <w:t>A resolution proposed for a vote in the general meeting shall be decided by a count of the participating votes. The manner of the</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5"/>
              </w:rPr>
              <w:t>counting of the votes will be determined by the chairman of the Board of Directors, unless prior to the vote, a secret ballot was requested by a</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shareholder or holders with at least 10% of the issued share capital of the Company. In a case of a dispute whether to accept or reject any individual</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vote in the vote, the chairman of the meeting shall determine the matter and his good faith decision shall be final and decisive.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74.</w:t>
            </w:r>
          </w:p>
        </w:tc>
        <w:tc>
          <w:tcPr>
            <w:tcW w:w="10860" w:type="dxa"/>
            <w:vAlign w:val="bottom"/>
          </w:tcPr>
          <w:p>
            <w:pPr>
              <w:ind w:left="1260"/>
              <w:spacing w:after="0"/>
              <w:rPr>
                <w:sz w:val="20"/>
                <w:szCs w:val="20"/>
                <w:color w:val="auto"/>
              </w:rPr>
            </w:pPr>
            <w:r>
              <w:rPr>
                <w:rFonts w:ascii="Arial" w:cs="Arial" w:eastAsia="Arial" w:hAnsi="Arial"/>
                <w:sz w:val="18"/>
                <w:szCs w:val="18"/>
                <w:color w:val="auto"/>
                <w:w w:val="95"/>
              </w:rPr>
              <w:t>A declaration made by the chairman that a resolution was passed or rejected at the general meeting, unanimously or by some</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majority, and the declaration was recorded in this matter in the minutes of the meeting, shall be prima facie evidence to that stated, and it shall not be</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rPr>
              <w:t>necessary to prove the number of votes (or their proportional share) which were made in favor or against such resolution.</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75.</w:t>
            </w:r>
          </w:p>
        </w:tc>
        <w:tc>
          <w:tcPr>
            <w:tcW w:w="10860" w:type="dxa"/>
            <w:vAlign w:val="bottom"/>
          </w:tcPr>
          <w:p>
            <w:pPr>
              <w:ind w:left="1260"/>
              <w:spacing w:after="0"/>
              <w:rPr>
                <w:sz w:val="20"/>
                <w:szCs w:val="20"/>
                <w:color w:val="auto"/>
              </w:rPr>
            </w:pPr>
            <w:r>
              <w:rPr>
                <w:rFonts w:ascii="Arial" w:cs="Arial" w:eastAsia="Arial" w:hAnsi="Arial"/>
                <w:sz w:val="18"/>
                <w:szCs w:val="18"/>
                <w:color w:val="auto"/>
                <w:w w:val="92"/>
              </w:rPr>
              <w:t>Subject to the provisions of the Companies Law or the provisions of these Articles with regard to some other majority, decisions of</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4"/>
              </w:rPr>
              <w:t>the general meeting shall be passed by an ordinary majority. The chairman of the meeting shall not have an additional vote or a decisive vote.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76.</w:t>
            </w:r>
          </w:p>
        </w:tc>
        <w:tc>
          <w:tcPr>
            <w:tcW w:w="10860" w:type="dxa"/>
            <w:vAlign w:val="bottom"/>
          </w:tcPr>
          <w:p>
            <w:pPr>
              <w:ind w:left="1260"/>
              <w:spacing w:after="0"/>
              <w:rPr>
                <w:sz w:val="20"/>
                <w:szCs w:val="20"/>
                <w:color w:val="auto"/>
              </w:rPr>
            </w:pPr>
            <w:r>
              <w:rPr>
                <w:rFonts w:ascii="Arial" w:cs="Arial" w:eastAsia="Arial" w:hAnsi="Arial"/>
                <w:sz w:val="18"/>
                <w:szCs w:val="18"/>
                <w:color w:val="auto"/>
                <w:w w:val="91"/>
              </w:rPr>
              <w:t>The chairman of the general meeting is entitled, at the consent of an meeting in which a legal quorum is present, to postpone it or to</w:t>
            </w:r>
          </w:p>
        </w:tc>
      </w:tr>
      <w:tr>
        <w:trPr>
          <w:trHeight w:val="216"/>
        </w:trPr>
        <w:tc>
          <w:tcPr>
            <w:tcW w:w="360" w:type="dxa"/>
            <w:vAlign w:val="bottom"/>
          </w:tcPr>
          <w:p>
            <w:pPr>
              <w:spacing w:after="0"/>
              <w:rPr>
                <w:sz w:val="18"/>
                <w:szCs w:val="18"/>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1"/>
              </w:rPr>
              <w:t>postpone the deliberation or the passage of a resolution in some specific matter on the agenda, to a later time or a place which shall be determined,</w:t>
            </w:r>
          </w:p>
        </w:tc>
      </w:tr>
      <w:tr>
        <w:trPr>
          <w:trHeight w:val="230"/>
        </w:trPr>
        <w:tc>
          <w:tcPr>
            <w:tcW w:w="360" w:type="dxa"/>
            <w:vAlign w:val="bottom"/>
          </w:tcPr>
          <w:p>
            <w:pPr>
              <w:spacing w:after="0"/>
              <w:rPr>
                <w:sz w:val="20"/>
                <w:szCs w:val="20"/>
                <w:color w:val="auto"/>
              </w:rPr>
            </w:pPr>
          </w:p>
        </w:tc>
        <w:tc>
          <w:tcPr>
            <w:tcW w:w="10860" w:type="dxa"/>
            <w:vAlign w:val="bottom"/>
          </w:tcPr>
          <w:p>
            <w:pPr>
              <w:ind w:left="140"/>
              <w:spacing w:after="0"/>
              <w:rPr>
                <w:sz w:val="20"/>
                <w:szCs w:val="20"/>
                <w:color w:val="auto"/>
              </w:rPr>
            </w:pPr>
            <w:r>
              <w:rPr>
                <w:rFonts w:ascii="Arial" w:cs="Arial" w:eastAsia="Arial" w:hAnsi="Arial"/>
                <w:sz w:val="18"/>
                <w:szCs w:val="18"/>
                <w:color w:val="auto"/>
                <w:w w:val="90"/>
              </w:rPr>
              <w:t>and he is required to do so in accordance with the demand of the meeting. At such, postponed meeting as stated, no matter will be deliberated which</w:t>
            </w:r>
          </w:p>
        </w:tc>
      </w:tr>
    </w:tbl>
    <w:p>
      <w:pPr>
        <w:ind w:left="500" w:right="520"/>
        <w:spacing w:after="0" w:line="260" w:lineRule="auto"/>
        <w:rPr>
          <w:sz w:val="20"/>
          <w:szCs w:val="20"/>
          <w:color w:val="auto"/>
        </w:rPr>
      </w:pPr>
      <w:r>
        <w:rPr>
          <w:rFonts w:ascii="Arial" w:cs="Arial" w:eastAsia="Arial" w:hAnsi="Arial"/>
          <w:sz w:val="18"/>
          <w:szCs w:val="18"/>
          <w:color w:val="auto"/>
        </w:rPr>
        <w:t>was not on the agenda and for which a resolution was not passed in the meeting at which the postponement was resolved upon. If the general meeting was postponed for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43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6" w:name="page207"/>
    <w:bookmarkEnd w:id="206"/>
    <w:p>
      <w:pPr>
        <w:ind w:left="500" w:right="100"/>
        <w:spacing w:after="0" w:line="259" w:lineRule="auto"/>
        <w:rPr>
          <w:sz w:val="20"/>
          <w:szCs w:val="20"/>
          <w:color w:val="auto"/>
        </w:rPr>
      </w:pPr>
      <w:r>
        <w:rPr>
          <w:rFonts w:ascii="Arial" w:cs="Arial" w:eastAsia="Arial" w:hAnsi="Arial"/>
          <w:sz w:val="18"/>
          <w:szCs w:val="18"/>
          <w:color w:val="auto"/>
        </w:rPr>
        <w:t>21 days, notice will be issued upon the postponed meeting, as stated in Clauses 53 and 54 above. If the general meeting was postponed without changing its agenda, for a date not exceeding 21 days, the notices and summons with regard to the new date will be issued as early as possible, and not later than 72 hours prior to the general meeting. The notices and the summons as stated will be issued in accordance with Clauses 53 and 54 above, mutatis mutandis.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w:t>
      </w:r>
    </w:p>
    <w:p>
      <w:pPr>
        <w:spacing w:after="0" w:line="229" w:lineRule="exact"/>
        <w:rPr>
          <w:sz w:val="20"/>
          <w:szCs w:val="20"/>
          <w:color w:val="auto"/>
        </w:rPr>
      </w:pPr>
    </w:p>
    <w:p>
      <w:pPr>
        <w:ind w:left="500" w:right="160" w:hanging="494"/>
        <w:spacing w:after="0" w:line="308" w:lineRule="auto"/>
        <w:tabs>
          <w:tab w:leader="none" w:pos="4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The number of directors shall not be less than four and shall not exceed nine (not including external directors, to the extent there is an obligation to appoint them, and not including up to two additional directors appointed by the Board of Directors as described in Article 80.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3" w:lineRule="exact"/>
        <w:rPr>
          <w:sz w:val="20"/>
          <w:szCs w:val="20"/>
          <w:color w:val="auto"/>
        </w:rPr>
      </w:pPr>
    </w:p>
    <w:p>
      <w:pPr>
        <w:ind w:left="500" w:firstLine="851"/>
        <w:spacing w:after="0" w:line="252" w:lineRule="auto"/>
        <w:rPr>
          <w:sz w:val="20"/>
          <w:szCs w:val="20"/>
          <w:color w:val="auto"/>
        </w:rPr>
      </w:pPr>
      <w:r>
        <w:rPr>
          <w:rFonts w:ascii="Arial" w:cs="Arial" w:eastAsia="Arial" w:hAnsi="Arial"/>
          <w:sz w:val="18"/>
          <w:szCs w:val="18"/>
          <w:color w:val="auto"/>
        </w:rPr>
        <w:t>The annual general meeting of the Company shall appoint, by ordinary majority, the members of the Board of Directors. Each appointed director shall serve as a member of the Board of Directors until the next annual general meeting. The term of a director shall terminate at the next annual general meeting, unless extended by that annual general meeting, or terminated by the general meeting in accordance with Article 82. A director is not required to be a shareholder in the Company. The provisions of this clause with regard to the appointment of directors shall not apply to external directors who will be appointed in the accordance with the provisions of the Companies Law, to the extent there is an obligation to appoint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835025</wp:posOffset>
            </wp:positionV>
            <wp:extent cx="7132320"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79.</w:t>
            </w:r>
          </w:p>
        </w:tc>
        <w:tc>
          <w:tcPr>
            <w:tcW w:w="10840" w:type="dxa"/>
            <w:vAlign w:val="bottom"/>
          </w:tcPr>
          <w:p>
            <w:pPr>
              <w:ind w:left="1260"/>
              <w:spacing w:after="0"/>
              <w:rPr>
                <w:sz w:val="20"/>
                <w:szCs w:val="20"/>
                <w:color w:val="auto"/>
              </w:rPr>
            </w:pPr>
            <w:r>
              <w:rPr>
                <w:rFonts w:ascii="Arial" w:cs="Arial" w:eastAsia="Arial" w:hAnsi="Arial"/>
                <w:sz w:val="18"/>
                <w:szCs w:val="18"/>
                <w:color w:val="auto"/>
                <w:w w:val="93"/>
              </w:rPr>
              <w:t>With the exception of directors who served in the Company up until the date of the annual meeting and/or parties upon whom the</w:t>
            </w:r>
          </w:p>
        </w:tc>
      </w:tr>
      <w:tr>
        <w:trPr>
          <w:trHeight w:val="216"/>
        </w:trPr>
        <w:tc>
          <w:tcPr>
            <w:tcW w:w="360" w:type="dxa"/>
            <w:vAlign w:val="bottom"/>
          </w:tcPr>
          <w:p>
            <w:pPr>
              <w:spacing w:after="0"/>
              <w:rPr>
                <w:sz w:val="18"/>
                <w:szCs w:val="18"/>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4"/>
              </w:rPr>
              <w:t>Board of Directors of the Company recommended their appointment as director before the general meeting, no director will be appointed at the</w:t>
            </w:r>
          </w:p>
        </w:tc>
      </w:tr>
      <w:tr>
        <w:trPr>
          <w:trHeight w:val="216"/>
        </w:trPr>
        <w:tc>
          <w:tcPr>
            <w:tcW w:w="360" w:type="dxa"/>
            <w:vAlign w:val="bottom"/>
          </w:tcPr>
          <w:p>
            <w:pPr>
              <w:spacing w:after="0"/>
              <w:rPr>
                <w:sz w:val="18"/>
                <w:szCs w:val="18"/>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2"/>
              </w:rPr>
              <w:t>annual meeting, unless a shareholder in the Company who holds at least 1% of the Company’s share capital, who is seeking to propose him as a</w:t>
            </w:r>
          </w:p>
        </w:tc>
      </w:tr>
      <w:tr>
        <w:trPr>
          <w:trHeight w:val="216"/>
        </w:trPr>
        <w:tc>
          <w:tcPr>
            <w:tcW w:w="360" w:type="dxa"/>
            <w:vAlign w:val="bottom"/>
          </w:tcPr>
          <w:p>
            <w:pPr>
              <w:spacing w:after="0"/>
              <w:rPr>
                <w:sz w:val="18"/>
                <w:szCs w:val="18"/>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3"/>
              </w:rPr>
              <w:t>candidate, shall submit to the office at least 45 (forty-five) days prior to the convening of the annual meeting, a document in writing signed by the</w:t>
            </w:r>
          </w:p>
        </w:tc>
      </w:tr>
      <w:tr>
        <w:trPr>
          <w:trHeight w:val="216"/>
        </w:trPr>
        <w:tc>
          <w:tcPr>
            <w:tcW w:w="360" w:type="dxa"/>
            <w:vAlign w:val="bottom"/>
          </w:tcPr>
          <w:p>
            <w:pPr>
              <w:spacing w:after="0"/>
              <w:rPr>
                <w:sz w:val="18"/>
                <w:szCs w:val="18"/>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6"/>
              </w:rPr>
              <w:t>shareholder notifying of the intent of the shareholder to propose the candidate for appointment as director, with the consent in writing of the</w:t>
            </w:r>
          </w:p>
        </w:tc>
      </w:tr>
      <w:tr>
        <w:trPr>
          <w:trHeight w:val="230"/>
        </w:trPr>
        <w:tc>
          <w:tcPr>
            <w:tcW w:w="360" w:type="dxa"/>
            <w:vAlign w:val="bottom"/>
          </w:tcPr>
          <w:p>
            <w:pPr>
              <w:spacing w:after="0"/>
              <w:rPr>
                <w:sz w:val="20"/>
                <w:szCs w:val="20"/>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rPr>
              <w:t>candidate attached to this document to serve as a director together with his resume, as stated in Article 52.3 above.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80.</w:t>
            </w:r>
          </w:p>
        </w:tc>
        <w:tc>
          <w:tcPr>
            <w:tcW w:w="10840" w:type="dxa"/>
            <w:vAlign w:val="bottom"/>
          </w:tcPr>
          <w:p>
            <w:pPr>
              <w:ind w:left="1260"/>
              <w:spacing w:after="0"/>
              <w:rPr>
                <w:sz w:val="20"/>
                <w:szCs w:val="20"/>
                <w:color w:val="auto"/>
              </w:rPr>
            </w:pPr>
            <w:r>
              <w:rPr>
                <w:rFonts w:ascii="Arial" w:cs="Arial" w:eastAsia="Arial" w:hAnsi="Arial"/>
                <w:sz w:val="18"/>
                <w:szCs w:val="18"/>
                <w:color w:val="auto"/>
                <w:w w:val="92"/>
              </w:rPr>
              <w:t>The Board of Directors shall appoint up to two (2) directors whose term of office will expire on the date of the next following annual</w:t>
            </w:r>
          </w:p>
        </w:tc>
      </w:tr>
      <w:tr>
        <w:trPr>
          <w:trHeight w:val="216"/>
        </w:trPr>
        <w:tc>
          <w:tcPr>
            <w:tcW w:w="360" w:type="dxa"/>
            <w:vAlign w:val="bottom"/>
          </w:tcPr>
          <w:p>
            <w:pPr>
              <w:spacing w:after="0"/>
              <w:rPr>
                <w:sz w:val="18"/>
                <w:szCs w:val="18"/>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3"/>
              </w:rPr>
              <w:t>meeting, provided that they may be reappointed by the Board of Directors according to this Article for one additional term of office, provided that</w:t>
            </w:r>
          </w:p>
        </w:tc>
      </w:tr>
      <w:tr>
        <w:trPr>
          <w:trHeight w:val="230"/>
        </w:trPr>
        <w:tc>
          <w:tcPr>
            <w:tcW w:w="360" w:type="dxa"/>
            <w:vAlign w:val="bottom"/>
          </w:tcPr>
          <w:p>
            <w:pPr>
              <w:spacing w:after="0"/>
              <w:rPr>
                <w:sz w:val="20"/>
                <w:szCs w:val="20"/>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rPr>
              <w:t>they may be reappointed by the annual meeting (subject to Article 78 above).</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81.</w:t>
            </w:r>
          </w:p>
        </w:tc>
        <w:tc>
          <w:tcPr>
            <w:tcW w:w="10840" w:type="dxa"/>
            <w:vAlign w:val="bottom"/>
          </w:tcPr>
          <w:p>
            <w:pPr>
              <w:ind w:left="1260"/>
              <w:spacing w:after="0"/>
              <w:rPr>
                <w:sz w:val="20"/>
                <w:szCs w:val="20"/>
                <w:color w:val="auto"/>
              </w:rPr>
            </w:pPr>
            <w:r>
              <w:rPr>
                <w:rFonts w:ascii="Arial" w:cs="Arial" w:eastAsia="Arial" w:hAnsi="Arial"/>
                <w:sz w:val="18"/>
                <w:szCs w:val="18"/>
                <w:color w:val="auto"/>
                <w:w w:val="92"/>
              </w:rPr>
              <w:t>The general meeting or the Board of Directors is entitled to determine that the service of a director appointed by them, as the case</w:t>
            </w:r>
          </w:p>
        </w:tc>
      </w:tr>
      <w:tr>
        <w:trPr>
          <w:trHeight w:val="230"/>
        </w:trPr>
        <w:tc>
          <w:tcPr>
            <w:tcW w:w="360" w:type="dxa"/>
            <w:vAlign w:val="bottom"/>
          </w:tcPr>
          <w:p>
            <w:pPr>
              <w:spacing w:after="0"/>
              <w:rPr>
                <w:sz w:val="20"/>
                <w:szCs w:val="20"/>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rPr>
              <w:t>may be, shall commence at a later date from the date of the resolution upon his appointment.</w:t>
            </w:r>
          </w:p>
        </w:tc>
      </w:tr>
      <w:tr>
        <w:trPr>
          <w:trHeight w:val="418"/>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82.</w:t>
            </w:r>
          </w:p>
        </w:tc>
        <w:tc>
          <w:tcPr>
            <w:tcW w:w="10840" w:type="dxa"/>
            <w:vAlign w:val="bottom"/>
          </w:tcPr>
          <w:p>
            <w:pPr>
              <w:ind w:left="1260"/>
              <w:spacing w:after="0"/>
              <w:rPr>
                <w:sz w:val="20"/>
                <w:szCs w:val="20"/>
                <w:color w:val="auto"/>
              </w:rPr>
            </w:pPr>
            <w:r>
              <w:rPr>
                <w:rFonts w:ascii="Arial" w:cs="Arial" w:eastAsia="Arial" w:hAnsi="Arial"/>
                <w:sz w:val="18"/>
                <w:szCs w:val="18"/>
                <w:color w:val="auto"/>
                <w:w w:val="96"/>
              </w:rPr>
              <w:t>Notwithstanding that stated above, the general meeting is entitled at any time to remove a director from his position, with the</w:t>
            </w:r>
          </w:p>
        </w:tc>
      </w:tr>
      <w:tr>
        <w:trPr>
          <w:trHeight w:val="230"/>
        </w:trPr>
        <w:tc>
          <w:tcPr>
            <w:tcW w:w="360" w:type="dxa"/>
            <w:vAlign w:val="bottom"/>
          </w:tcPr>
          <w:p>
            <w:pPr>
              <w:spacing w:after="0"/>
              <w:rPr>
                <w:sz w:val="20"/>
                <w:szCs w:val="20"/>
                <w:color w:val="auto"/>
              </w:rPr>
            </w:pPr>
          </w:p>
        </w:tc>
        <w:tc>
          <w:tcPr>
            <w:tcW w:w="10840" w:type="dxa"/>
            <w:vAlign w:val="bottom"/>
          </w:tcPr>
          <w:p>
            <w:pPr>
              <w:ind w:left="140"/>
              <w:spacing w:after="0"/>
              <w:rPr>
                <w:sz w:val="20"/>
                <w:szCs w:val="20"/>
                <w:color w:val="auto"/>
              </w:rPr>
            </w:pPr>
            <w:r>
              <w:rPr>
                <w:rFonts w:ascii="Arial" w:cs="Arial" w:eastAsia="Arial" w:hAnsi="Arial"/>
                <w:sz w:val="18"/>
                <w:szCs w:val="18"/>
                <w:color w:val="auto"/>
                <w:w w:val="92"/>
              </w:rPr>
              <w:t>exception of an external director (regarding which there shall apply the provisions of the Companies Law) prior to the end of his period of service,</w:t>
            </w:r>
          </w:p>
        </w:tc>
      </w:tr>
    </w:tbl>
    <w:p>
      <w:pPr>
        <w:jc w:val="both"/>
        <w:ind w:left="500" w:right="140"/>
        <w:spacing w:after="0" w:line="255" w:lineRule="auto"/>
        <w:rPr>
          <w:sz w:val="20"/>
          <w:szCs w:val="20"/>
          <w:color w:val="auto"/>
        </w:rPr>
      </w:pPr>
      <w:r>
        <w:rPr>
          <w:rFonts w:ascii="Arial" w:cs="Arial" w:eastAsia="Arial" w:hAnsi="Arial"/>
          <w:sz w:val="18"/>
          <w:szCs w:val="18"/>
          <w:color w:val="auto"/>
        </w:rPr>
        <w:t>and provided that the director is granted a reasonable opportunity to present his position before the general meeting. Any general meeting may, by ordinary majority, appoint in the stead of a director who was removed from his position as stated above, some other party as director, and provided that the recommendation of a shareholder was given as stated in Clause 79 above.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position of a director shall be vacated automatically in any one of the following instances: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Resignation.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Declaration of bankruptcy.</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Conviction of a crime as stated in Article 232 of the Law.</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If the director is a corporation which has resolved voluntary liquidation, or an order for liquidation has been issued against it.</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82.5.</w:t>
      </w:r>
      <w:r>
        <w:rPr>
          <w:sz w:val="20"/>
          <w:szCs w:val="20"/>
          <w:color w:val="auto"/>
        </w:rPr>
        <w:tab/>
      </w:r>
      <w:r>
        <w:rPr>
          <w:rFonts w:ascii="Arial" w:cs="Arial" w:eastAsia="Arial" w:hAnsi="Arial"/>
          <w:sz w:val="16"/>
          <w:szCs w:val="16"/>
          <w:color w:val="auto"/>
        </w:rPr>
        <w:t>Per a decision of the court as stated in Article 233 of the Law.</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82.6.</w:t>
      </w:r>
      <w:r>
        <w:rPr>
          <w:sz w:val="20"/>
          <w:szCs w:val="20"/>
          <w:color w:val="auto"/>
        </w:rPr>
        <w:tab/>
      </w:r>
      <w:r>
        <w:rPr>
          <w:rFonts w:ascii="Arial" w:cs="Arial" w:eastAsia="Arial" w:hAnsi="Arial"/>
          <w:sz w:val="16"/>
          <w:szCs w:val="16"/>
          <w:color w:val="auto"/>
        </w:rPr>
        <w:t>Declaration of legal incompetency.</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82.7.</w:t>
      </w:r>
      <w:r>
        <w:rPr>
          <w:sz w:val="20"/>
          <w:szCs w:val="20"/>
          <w:color w:val="auto"/>
        </w:rPr>
        <w:tab/>
      </w:r>
      <w:r>
        <w:rPr>
          <w:rFonts w:ascii="Arial" w:cs="Arial" w:eastAsia="Arial" w:hAnsi="Arial"/>
          <w:sz w:val="16"/>
          <w:szCs w:val="16"/>
          <w:color w:val="auto"/>
        </w:rPr>
        <w:t>If his term was automatically terminated in accordance with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82.8.</w:t>
            </w:r>
          </w:p>
        </w:tc>
        <w:tc>
          <w:tcPr>
            <w:tcW w:w="10800" w:type="dxa"/>
            <w:vAlign w:val="bottom"/>
          </w:tcPr>
          <w:p>
            <w:pPr>
              <w:ind w:left="880"/>
              <w:spacing w:after="0"/>
              <w:rPr>
                <w:sz w:val="20"/>
                <w:szCs w:val="20"/>
                <w:color w:val="auto"/>
              </w:rPr>
            </w:pPr>
            <w:r>
              <w:rPr>
                <w:rFonts w:ascii="Arial" w:cs="Arial" w:eastAsia="Arial" w:hAnsi="Arial"/>
                <w:sz w:val="18"/>
                <w:szCs w:val="18"/>
                <w:color w:val="auto"/>
              </w:rPr>
              <w:t>Death.</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83.</w:t>
            </w:r>
          </w:p>
        </w:tc>
        <w:tc>
          <w:tcPr>
            <w:tcW w:w="10800" w:type="dxa"/>
            <w:vAlign w:val="bottom"/>
          </w:tcPr>
          <w:p>
            <w:pPr>
              <w:ind w:left="1180"/>
              <w:spacing w:after="0"/>
              <w:rPr>
                <w:sz w:val="20"/>
                <w:szCs w:val="20"/>
                <w:color w:val="auto"/>
              </w:rPr>
            </w:pPr>
            <w:r>
              <w:rPr>
                <w:rFonts w:ascii="Arial" w:cs="Arial" w:eastAsia="Arial" w:hAnsi="Arial"/>
                <w:sz w:val="18"/>
                <w:szCs w:val="18"/>
                <w:color w:val="auto"/>
                <w:w w:val="94"/>
              </w:rPr>
              <w:t>If the position of the director is vacated, the Board of Directors may continue to operate in every matter so long as the number of</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directors is not less than the minimum number of directors determined in Clause 77 above.</w:t>
            </w:r>
          </w:p>
        </w:tc>
      </w:tr>
      <w:tr>
        <w:trPr>
          <w:trHeight w:val="418"/>
        </w:trPr>
        <w:tc>
          <w:tcPr>
            <w:tcW w:w="440" w:type="dxa"/>
            <w:vAlign w:val="bottom"/>
          </w:tcPr>
          <w:p>
            <w:pPr>
              <w:spacing w:after="0"/>
              <w:rPr>
                <w:sz w:val="24"/>
                <w:szCs w:val="24"/>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1"/>
              </w:rPr>
              <w:t>For so long as the general meeting was not convened, the Board of Directors shall not be entitled to act upon manners which may be postponed, up</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to the date of the convening of the general meeting for the appointment of the directors.</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84.</w:t>
            </w:r>
          </w:p>
        </w:tc>
        <w:tc>
          <w:tcPr>
            <w:tcW w:w="10800" w:type="dxa"/>
            <w:vAlign w:val="bottom"/>
          </w:tcPr>
          <w:p>
            <w:pPr>
              <w:ind w:left="1180"/>
              <w:spacing w:after="0"/>
              <w:rPr>
                <w:sz w:val="20"/>
                <w:szCs w:val="20"/>
                <w:color w:val="auto"/>
              </w:rPr>
            </w:pPr>
            <w:r>
              <w:rPr>
                <w:rFonts w:ascii="Arial" w:cs="Arial" w:eastAsia="Arial" w:hAnsi="Arial"/>
                <w:sz w:val="18"/>
                <w:szCs w:val="18"/>
                <w:color w:val="auto"/>
                <w:w w:val="92"/>
              </w:rPr>
              <w:t>A director may resign by submission of notice to the Board of Directors, to the chairman of the Board of Directors or the Company,</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1"/>
              </w:rPr>
              <w:t>as required in the Companies Law. The resignation shall be valid on the date of the delivery of the notice. Unless the notice determines a later date.</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A director will provide the reasons for his resignation.</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85.</w:t>
            </w:r>
          </w:p>
        </w:tc>
        <w:tc>
          <w:tcPr>
            <w:tcW w:w="10800" w:type="dxa"/>
            <w:vAlign w:val="bottom"/>
          </w:tcPr>
          <w:p>
            <w:pPr>
              <w:ind w:left="1180"/>
              <w:spacing w:after="0"/>
              <w:rPr>
                <w:sz w:val="20"/>
                <w:szCs w:val="20"/>
                <w:color w:val="auto"/>
              </w:rPr>
            </w:pPr>
            <w:r>
              <w:rPr>
                <w:rFonts w:ascii="Arial" w:cs="Arial" w:eastAsia="Arial" w:hAnsi="Arial"/>
                <w:sz w:val="18"/>
                <w:szCs w:val="18"/>
                <w:color w:val="auto"/>
                <w:w w:val="97"/>
              </w:rPr>
              <w:t>Subject to the provisions of the Companies Law, the Company is entitled to pay directors remuneration for fulfillment of their</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position as directors.</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86.</w:t>
            </w:r>
          </w:p>
        </w:tc>
        <w:tc>
          <w:tcPr>
            <w:tcW w:w="10800" w:type="dxa"/>
            <w:vAlign w:val="bottom"/>
          </w:tcPr>
          <w:p>
            <w:pPr>
              <w:spacing w:after="0"/>
              <w:rPr>
                <w:sz w:val="24"/>
                <w:szCs w:val="24"/>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86.1.</w:t>
            </w:r>
          </w:p>
        </w:tc>
        <w:tc>
          <w:tcPr>
            <w:tcW w:w="10800" w:type="dxa"/>
            <w:vAlign w:val="bottom"/>
          </w:tcPr>
          <w:p>
            <w:pPr>
              <w:ind w:left="860"/>
              <w:spacing w:after="0"/>
              <w:rPr>
                <w:sz w:val="20"/>
                <w:szCs w:val="20"/>
                <w:color w:val="auto"/>
              </w:rPr>
            </w:pPr>
            <w:r>
              <w:rPr>
                <w:rFonts w:ascii="Arial" w:cs="Arial" w:eastAsia="Arial" w:hAnsi="Arial"/>
                <w:sz w:val="18"/>
                <w:szCs w:val="18"/>
                <w:color w:val="auto"/>
                <w:w w:val="94"/>
              </w:rPr>
              <w:t xml:space="preserve">A director may appoint an alternate (hereinafter: </w:t>
            </w:r>
            <w:r>
              <w:rPr>
                <w:rFonts w:ascii="Arial" w:cs="Arial" w:eastAsia="Arial" w:hAnsi="Arial"/>
                <w:sz w:val="18"/>
                <w:szCs w:val="18"/>
                <w:b w:val="1"/>
                <w:bCs w:val="1"/>
                <w:color w:val="auto"/>
                <w:w w:val="94"/>
              </w:rPr>
              <w:t>“Alternate director’’</w:t>
            </w:r>
            <w:r>
              <w:rPr>
                <w:rFonts w:ascii="Arial" w:cs="Arial" w:eastAsia="Arial" w:hAnsi="Arial"/>
                <w:sz w:val="18"/>
                <w:szCs w:val="18"/>
                <w:color w:val="auto"/>
                <w:w w:val="94"/>
              </w:rPr>
              <w:t>). Notwithstanding that stated above, a party not eligible to be</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3"/>
              </w:rPr>
              <w:t>appointed as a director will not be appointed nor serve as an alternate director, nor shall a serving director in the Company or a serving alternate</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18"/>
        </w:trPr>
        <w:tc>
          <w:tcPr>
            <w:tcW w:w="440" w:type="dxa"/>
            <w:vAlign w:val="bottom"/>
          </w:tcPr>
          <w:p>
            <w:pPr>
              <w:spacing w:after="0"/>
              <w:rPr>
                <w:sz w:val="24"/>
                <w:szCs w:val="24"/>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2"/>
              </w:rPr>
              <w:t>A serving director may be appointed as an alternate director for a membership in a Board of Directors committee, and provided that at the date of</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1"/>
              </w:rPr>
              <w:t>appointment as an alternate director to a member of a committee, he does not serve as a member of such Board of Directors committee and if he is</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6"/>
              </w:rPr>
              <w:t>an alternate director to an external director, the candidate will be an external director with accounting and financial expertise or professional</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competency, in accordance with the competency of the director being replaced.</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86.2.</w:t>
            </w:r>
          </w:p>
        </w:tc>
        <w:tc>
          <w:tcPr>
            <w:tcW w:w="10800" w:type="dxa"/>
            <w:vAlign w:val="bottom"/>
          </w:tcPr>
          <w:p>
            <w:pPr>
              <w:ind w:left="860"/>
              <w:spacing w:after="0"/>
              <w:rPr>
                <w:sz w:val="20"/>
                <w:szCs w:val="20"/>
                <w:color w:val="auto"/>
              </w:rPr>
            </w:pPr>
            <w:r>
              <w:rPr>
                <w:rFonts w:ascii="Arial" w:cs="Arial" w:eastAsia="Arial" w:hAnsi="Arial"/>
                <w:sz w:val="18"/>
                <w:szCs w:val="18"/>
                <w:color w:val="auto"/>
                <w:w w:val="91"/>
              </w:rPr>
              <w:t>An alternate director shall be equivalent to the director whom he replaces, and shall be entitled to be present at members of the Board of</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7"/>
              </w:rPr>
              <w:t>Directors and/or committees of the Board of Directors, to participate and to vote therein as it was entitled to be director who appointed him.</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Notwithstanding that stated, the Company shall not pay remuneration to an alternate director.</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86.3.</w:t>
            </w:r>
          </w:p>
        </w:tc>
        <w:tc>
          <w:tcPr>
            <w:tcW w:w="10800" w:type="dxa"/>
            <w:vAlign w:val="bottom"/>
          </w:tcPr>
          <w:p>
            <w:pPr>
              <w:ind w:left="860"/>
              <w:spacing w:after="0"/>
              <w:rPr>
                <w:sz w:val="20"/>
                <w:szCs w:val="20"/>
                <w:color w:val="auto"/>
              </w:rPr>
            </w:pPr>
            <w:r>
              <w:rPr>
                <w:rFonts w:ascii="Arial" w:cs="Arial" w:eastAsia="Arial" w:hAnsi="Arial"/>
                <w:sz w:val="18"/>
                <w:szCs w:val="18"/>
                <w:color w:val="auto"/>
              </w:rPr>
              <w:t>A director who appointed an alternate director may, subject to the provisions of the law, cancel the appointment at any time.</w:t>
            </w:r>
          </w:p>
        </w:tc>
      </w:tr>
      <w:tr>
        <w:trPr>
          <w:trHeight w:val="216"/>
        </w:trPr>
        <w:tc>
          <w:tcPr>
            <w:tcW w:w="440" w:type="dxa"/>
            <w:vAlign w:val="bottom"/>
          </w:tcPr>
          <w:p>
            <w:pPr>
              <w:spacing w:after="0"/>
              <w:rPr>
                <w:sz w:val="18"/>
                <w:szCs w:val="18"/>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w w:val="91"/>
              </w:rPr>
              <w:t>Additionally, the position of the alternate directors shall be vacated at any time when the position of the director who appointed the alternate director</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shall be vacated in any manner.</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86.4.</w:t>
            </w:r>
          </w:p>
        </w:tc>
        <w:tc>
          <w:tcPr>
            <w:tcW w:w="10800" w:type="dxa"/>
            <w:vAlign w:val="bottom"/>
          </w:tcPr>
          <w:p>
            <w:pPr>
              <w:ind w:left="860"/>
              <w:spacing w:after="0"/>
              <w:rPr>
                <w:sz w:val="20"/>
                <w:szCs w:val="20"/>
                <w:color w:val="auto"/>
              </w:rPr>
            </w:pPr>
            <w:r>
              <w:rPr>
                <w:rFonts w:ascii="Arial" w:cs="Arial" w:eastAsia="Arial" w:hAnsi="Arial"/>
                <w:sz w:val="18"/>
                <w:szCs w:val="18"/>
                <w:color w:val="auto"/>
                <w:w w:val="94"/>
              </w:rPr>
              <w:t>Any appointment or cancellation of an alternate director as stated above, will be by notice in writing delivered to the alternate director</w:t>
            </w:r>
          </w:p>
        </w:tc>
      </w:tr>
      <w:tr>
        <w:trPr>
          <w:trHeight w:val="230"/>
        </w:trPr>
        <w:tc>
          <w:tcPr>
            <w:tcW w:w="440" w:type="dxa"/>
            <w:vAlign w:val="bottom"/>
          </w:tcPr>
          <w:p>
            <w:pPr>
              <w:spacing w:after="0"/>
              <w:rPr>
                <w:sz w:val="20"/>
                <w:szCs w:val="20"/>
                <w:color w:val="auto"/>
              </w:rPr>
            </w:pPr>
          </w:p>
        </w:tc>
        <w:tc>
          <w:tcPr>
            <w:tcW w:w="10800" w:type="dxa"/>
            <w:vAlign w:val="bottom"/>
          </w:tcPr>
          <w:p>
            <w:pPr>
              <w:ind w:left="60"/>
              <w:spacing w:after="0"/>
              <w:rPr>
                <w:sz w:val="20"/>
                <w:szCs w:val="20"/>
                <w:color w:val="auto"/>
              </w:rPr>
            </w:pPr>
            <w:r>
              <w:rPr>
                <w:rFonts w:ascii="Arial" w:cs="Arial" w:eastAsia="Arial" w:hAnsi="Arial"/>
                <w:sz w:val="18"/>
                <w:szCs w:val="18"/>
                <w:color w:val="auto"/>
              </w:rPr>
              <w:t>and to the Company, and will be valid after delivery of the deed of appointment, or deed of cancellation as stated or at the time</w:t>
            </w:r>
          </w:p>
        </w:tc>
      </w:tr>
      <w:tr>
        <w:trPr>
          <w:trHeight w:val="1107"/>
        </w:trPr>
        <w:tc>
          <w:tcPr>
            <w:tcW w:w="440" w:type="dxa"/>
            <w:vAlign w:val="bottom"/>
          </w:tcPr>
          <w:p>
            <w:pPr>
              <w:spacing w:after="0"/>
              <w:rPr>
                <w:sz w:val="24"/>
                <w:szCs w:val="24"/>
                <w:color w:val="auto"/>
              </w:rPr>
            </w:pPr>
          </w:p>
        </w:tc>
        <w:tc>
          <w:tcPr>
            <w:tcW w:w="1080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108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09" w:name="page210"/>
    <w:bookmarkEnd w:id="209"/>
    <w:p>
      <w:pPr>
        <w:ind w:left="500"/>
        <w:spacing w:after="0" w:line="277" w:lineRule="auto"/>
        <w:rPr>
          <w:sz w:val="20"/>
          <w:szCs w:val="20"/>
          <w:color w:val="auto"/>
        </w:rPr>
      </w:pPr>
      <w:r>
        <w:rPr>
          <w:rFonts w:ascii="Arial" w:cs="Arial" w:eastAsia="Arial" w:hAnsi="Arial"/>
          <w:sz w:val="18"/>
          <w:szCs w:val="18"/>
          <w:color w:val="auto"/>
        </w:rPr>
        <w:t>determined in the deed of appointment or deed of cancellation, the later of these, and if a period was not determined in the deed of appointment, the period shall be congruent with the period of service of the appointing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External Directors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87.</w:t>
            </w:r>
          </w:p>
        </w:tc>
        <w:tc>
          <w:tcPr>
            <w:tcW w:w="10660" w:type="dxa"/>
            <w:vAlign w:val="bottom"/>
            <w:gridSpan w:val="2"/>
          </w:tcPr>
          <w:p>
            <w:pPr>
              <w:ind w:left="1260"/>
              <w:spacing w:after="0"/>
              <w:rPr>
                <w:sz w:val="20"/>
                <w:szCs w:val="20"/>
                <w:color w:val="auto"/>
              </w:rPr>
            </w:pPr>
            <w:r>
              <w:rPr>
                <w:rFonts w:ascii="Arial" w:cs="Arial" w:eastAsia="Arial" w:hAnsi="Arial"/>
                <w:sz w:val="18"/>
                <w:szCs w:val="18"/>
                <w:color w:val="auto"/>
                <w:w w:val="91"/>
              </w:rPr>
              <w:t>At least two external directors shall serve in the Company, to the extent there is an obligation to appoint them, and the provisions</w:t>
            </w:r>
          </w:p>
        </w:tc>
      </w:tr>
      <w:tr>
        <w:trPr>
          <w:trHeight w:val="230"/>
        </w:trPr>
        <w:tc>
          <w:tcPr>
            <w:tcW w:w="360" w:type="dxa"/>
            <w:vAlign w:val="bottom"/>
          </w:tcPr>
          <w:p>
            <w:pPr>
              <w:spacing w:after="0"/>
              <w:rPr>
                <w:sz w:val="20"/>
                <w:szCs w:val="20"/>
                <w:color w:val="auto"/>
              </w:rPr>
            </w:pPr>
          </w:p>
        </w:tc>
        <w:tc>
          <w:tcPr>
            <w:tcW w:w="10660" w:type="dxa"/>
            <w:vAlign w:val="bottom"/>
            <w:gridSpan w:val="2"/>
          </w:tcPr>
          <w:p>
            <w:pPr>
              <w:ind w:left="140"/>
              <w:spacing w:after="0"/>
              <w:rPr>
                <w:sz w:val="20"/>
                <w:szCs w:val="20"/>
                <w:color w:val="auto"/>
              </w:rPr>
            </w:pPr>
            <w:r>
              <w:rPr>
                <w:rFonts w:ascii="Arial" w:cs="Arial" w:eastAsia="Arial" w:hAnsi="Arial"/>
                <w:sz w:val="18"/>
                <w:szCs w:val="18"/>
                <w:color w:val="auto"/>
              </w:rPr>
              <w:t>determined in the Companies Law shall apply in this matter.</w:t>
            </w:r>
          </w:p>
        </w:tc>
      </w:tr>
      <w:tr>
        <w:trPr>
          <w:trHeight w:val="391"/>
        </w:trPr>
        <w:tc>
          <w:tcPr>
            <w:tcW w:w="11020" w:type="dxa"/>
            <w:vAlign w:val="bottom"/>
            <w:gridSpan w:val="3"/>
          </w:tcPr>
          <w:p>
            <w:pPr>
              <w:spacing w:after="0"/>
              <w:rPr>
                <w:sz w:val="20"/>
                <w:szCs w:val="20"/>
                <w:color w:val="auto"/>
              </w:rPr>
            </w:pPr>
            <w:r>
              <w:rPr>
                <w:rFonts w:ascii="Arial" w:cs="Arial" w:eastAsia="Arial" w:hAnsi="Arial"/>
                <w:sz w:val="18"/>
                <w:szCs w:val="18"/>
                <w:b w:val="1"/>
                <w:bCs w:val="1"/>
                <w:color w:val="auto"/>
              </w:rPr>
              <w:t>Authorities of the Directors and their Duties</w:t>
            </w:r>
          </w:p>
        </w:tc>
      </w:tr>
      <w:tr>
        <w:trPr>
          <w:trHeight w:val="20"/>
        </w:trPr>
        <w:tc>
          <w:tcPr>
            <w:tcW w:w="36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rPr>
              <w:t>88.</w:t>
            </w:r>
          </w:p>
        </w:tc>
        <w:tc>
          <w:tcPr>
            <w:tcW w:w="10660" w:type="dxa"/>
            <w:vAlign w:val="bottom"/>
            <w:gridSpan w:val="2"/>
          </w:tcPr>
          <w:p>
            <w:pPr>
              <w:ind w:left="1260"/>
              <w:spacing w:after="0"/>
              <w:rPr>
                <w:sz w:val="20"/>
                <w:szCs w:val="20"/>
                <w:color w:val="auto"/>
              </w:rPr>
            </w:pPr>
            <w:r>
              <w:rPr>
                <w:rFonts w:ascii="Arial" w:cs="Arial" w:eastAsia="Arial" w:hAnsi="Arial"/>
                <w:sz w:val="18"/>
                <w:szCs w:val="18"/>
                <w:color w:val="auto"/>
                <w:w w:val="90"/>
              </w:rPr>
              <w:t>The directors shall have all of the authorities and the powers granted to them in accordance with these Articles, in accordance with</w:t>
            </w:r>
          </w:p>
        </w:tc>
      </w:tr>
      <w:tr>
        <w:trPr>
          <w:trHeight w:val="230"/>
        </w:trPr>
        <w:tc>
          <w:tcPr>
            <w:tcW w:w="360" w:type="dxa"/>
            <w:vAlign w:val="bottom"/>
          </w:tcPr>
          <w:p>
            <w:pPr>
              <w:spacing w:after="0"/>
              <w:rPr>
                <w:sz w:val="20"/>
                <w:szCs w:val="20"/>
                <w:color w:val="auto"/>
              </w:rPr>
            </w:pPr>
          </w:p>
        </w:tc>
        <w:tc>
          <w:tcPr>
            <w:tcW w:w="10660" w:type="dxa"/>
            <w:vAlign w:val="bottom"/>
            <w:gridSpan w:val="2"/>
          </w:tcPr>
          <w:p>
            <w:pPr>
              <w:ind w:left="140"/>
              <w:spacing w:after="0"/>
              <w:rPr>
                <w:sz w:val="20"/>
                <w:szCs w:val="20"/>
                <w:color w:val="auto"/>
              </w:rPr>
            </w:pPr>
            <w:r>
              <w:rPr>
                <w:rFonts w:ascii="Arial" w:cs="Arial" w:eastAsia="Arial" w:hAnsi="Arial"/>
                <w:sz w:val="18"/>
                <w:szCs w:val="18"/>
                <w:color w:val="auto"/>
              </w:rPr>
              <w:t>the Companies Law and applicable law.</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89.</w:t>
            </w:r>
          </w:p>
        </w:tc>
        <w:tc>
          <w:tcPr>
            <w:tcW w:w="10660" w:type="dxa"/>
            <w:vAlign w:val="bottom"/>
            <w:gridSpan w:val="2"/>
          </w:tcPr>
          <w:p>
            <w:pPr>
              <w:ind w:left="1260"/>
              <w:spacing w:after="0"/>
              <w:rPr>
                <w:sz w:val="20"/>
                <w:szCs w:val="20"/>
                <w:color w:val="auto"/>
              </w:rPr>
            </w:pPr>
            <w:r>
              <w:rPr>
                <w:rFonts w:ascii="Arial" w:cs="Arial" w:eastAsia="Arial" w:hAnsi="Arial"/>
                <w:sz w:val="18"/>
                <w:szCs w:val="18"/>
                <w:color w:val="auto"/>
                <w:w w:val="92"/>
              </w:rPr>
              <w:t>Without detracting from the provisions of these Articles, the Board of Directors shall direct the policies of the Company and shall</w:t>
            </w:r>
          </w:p>
        </w:tc>
      </w:tr>
      <w:tr>
        <w:trPr>
          <w:trHeight w:val="230"/>
        </w:trPr>
        <w:tc>
          <w:tcPr>
            <w:tcW w:w="360" w:type="dxa"/>
            <w:vAlign w:val="bottom"/>
          </w:tcPr>
          <w:p>
            <w:pPr>
              <w:spacing w:after="0"/>
              <w:rPr>
                <w:sz w:val="20"/>
                <w:szCs w:val="20"/>
                <w:color w:val="auto"/>
              </w:rPr>
            </w:pPr>
          </w:p>
        </w:tc>
        <w:tc>
          <w:tcPr>
            <w:tcW w:w="10660" w:type="dxa"/>
            <w:vAlign w:val="bottom"/>
            <w:gridSpan w:val="2"/>
          </w:tcPr>
          <w:p>
            <w:pPr>
              <w:ind w:left="140"/>
              <w:spacing w:after="0"/>
              <w:rPr>
                <w:sz w:val="20"/>
                <w:szCs w:val="20"/>
                <w:color w:val="auto"/>
              </w:rPr>
            </w:pPr>
            <w:r>
              <w:rPr>
                <w:rFonts w:ascii="Arial" w:cs="Arial" w:eastAsia="Arial" w:hAnsi="Arial"/>
                <w:sz w:val="18"/>
                <w:szCs w:val="18"/>
                <w:color w:val="auto"/>
              </w:rPr>
              <w:t>oversee performance of the positions of the CEO and his activities, and including:</w:t>
            </w:r>
          </w:p>
        </w:tc>
      </w:tr>
    </w:tbl>
    <w:p>
      <w:pPr>
        <w:spacing w:after="0" w:line="20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6"/>
          <w:szCs w:val="16"/>
          <w:color w:val="auto"/>
        </w:rPr>
        <w:t>Shall determine the action plans of the Company, principles for the financing thereof and priorities among them.</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6"/>
          <w:szCs w:val="16"/>
          <w:color w:val="auto"/>
        </w:rPr>
        <w:t>Shall examine the financial state of the Company, determine the credit framework which the Company may take.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6"/>
          <w:szCs w:val="16"/>
          <w:color w:val="auto"/>
        </w:rPr>
        <w:t>Shall determine the organizational structure and the wage policy.</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89.4.</w:t>
      </w:r>
      <w:r>
        <w:rPr>
          <w:sz w:val="20"/>
          <w:szCs w:val="20"/>
          <w:color w:val="auto"/>
        </w:rPr>
        <w:tab/>
      </w:r>
      <w:r>
        <w:rPr>
          <w:rFonts w:ascii="Arial" w:cs="Arial" w:eastAsia="Arial" w:hAnsi="Arial"/>
          <w:sz w:val="16"/>
          <w:szCs w:val="16"/>
          <w:color w:val="auto"/>
        </w:rPr>
        <w:t>May decide upon the issue of a series of bonds.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89.5.</w:t>
      </w:r>
      <w:r>
        <w:rPr>
          <w:sz w:val="20"/>
          <w:szCs w:val="20"/>
          <w:color w:val="auto"/>
        </w:rPr>
        <w:tab/>
      </w:r>
      <w:r>
        <w:rPr>
          <w:rFonts w:ascii="Arial" w:cs="Arial" w:eastAsia="Arial" w:hAnsi="Arial"/>
          <w:sz w:val="16"/>
          <w:szCs w:val="16"/>
          <w:color w:val="auto"/>
        </w:rPr>
        <w:t>Is responsible for preparation and approval of financial reports as stated in Article 171 of the Companies Law.</w:t>
      </w:r>
    </w:p>
    <w:p>
      <w:pPr>
        <w:spacing w:after="0" w:line="225" w:lineRule="exact"/>
        <w:rPr>
          <w:sz w:val="20"/>
          <w:szCs w:val="20"/>
          <w:color w:val="auto"/>
        </w:rPr>
      </w:pPr>
    </w:p>
    <w:p>
      <w:pPr>
        <w:ind w:left="500" w:right="640" w:hanging="494"/>
        <w:spacing w:after="0" w:line="277" w:lineRule="auto"/>
        <w:tabs>
          <w:tab w:leader="none" w:pos="480" w:val="left"/>
        </w:tabs>
        <w:rPr>
          <w:sz w:val="20"/>
          <w:szCs w:val="20"/>
          <w:color w:val="auto"/>
        </w:rPr>
      </w:pPr>
      <w:r>
        <w:rPr>
          <w:rFonts w:ascii="Arial" w:cs="Arial" w:eastAsia="Arial" w:hAnsi="Arial"/>
          <w:sz w:val="18"/>
          <w:szCs w:val="18"/>
          <w:color w:val="auto"/>
        </w:rPr>
        <w:t>89.6.</w:t>
        <w:tab/>
        <w:t>Will report to the annual meeting upon the state of affairs of the Company and its business results as stated in Article 173 of the Companies Law.</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89.7.</w:t>
      </w:r>
      <w:r>
        <w:rPr>
          <w:sz w:val="20"/>
          <w:szCs w:val="20"/>
          <w:color w:val="auto"/>
        </w:rPr>
        <w:tab/>
      </w:r>
      <w:r>
        <w:rPr>
          <w:rFonts w:ascii="Arial" w:cs="Arial" w:eastAsia="Arial" w:hAnsi="Arial"/>
          <w:sz w:val="16"/>
          <w:szCs w:val="16"/>
          <w:color w:val="auto"/>
        </w:rPr>
        <w:t>Will appoint and dismiss the CEO.</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89.8.</w:t>
      </w:r>
      <w:r>
        <w:rPr>
          <w:sz w:val="20"/>
          <w:szCs w:val="20"/>
          <w:color w:val="auto"/>
        </w:rPr>
        <w:tab/>
      </w:r>
      <w:r>
        <w:rPr>
          <w:rFonts w:ascii="Arial" w:cs="Arial" w:eastAsia="Arial" w:hAnsi="Arial"/>
          <w:sz w:val="16"/>
          <w:szCs w:val="16"/>
          <w:color w:val="auto"/>
        </w:rPr>
        <w:t>Will decide upon actions and transactions requiring its approval under these Articles or the provisions of Articles 255 and 268 through</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275 of the Companies Law.</w:t>
      </w:r>
    </w:p>
    <w:p>
      <w:pPr>
        <w:spacing w:after="0" w:line="21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89.9.</w:t>
      </w:r>
      <w:r>
        <w:rPr>
          <w:sz w:val="20"/>
          <w:szCs w:val="20"/>
          <w:color w:val="auto"/>
        </w:rPr>
        <w:tab/>
      </w:r>
      <w:r>
        <w:rPr>
          <w:rFonts w:ascii="Arial" w:cs="Arial" w:eastAsia="Arial" w:hAnsi="Arial"/>
          <w:sz w:val="16"/>
          <w:szCs w:val="16"/>
          <w:color w:val="auto"/>
        </w:rPr>
        <w:t>May allot shares and securities convertible into shares up to the limit of the registered share capital of the Company.</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89.10.</w:t>
      </w:r>
      <w:r>
        <w:rPr>
          <w:sz w:val="20"/>
          <w:szCs w:val="20"/>
          <w:color w:val="auto"/>
        </w:rPr>
        <w:tab/>
      </w:r>
      <w:r>
        <w:rPr>
          <w:rFonts w:ascii="Arial" w:cs="Arial" w:eastAsia="Arial" w:hAnsi="Arial"/>
          <w:sz w:val="16"/>
          <w:szCs w:val="16"/>
          <w:color w:val="auto"/>
        </w:rPr>
        <w:t>May resolve upon distribution of dividend, interim dividend or distribution of bonus shares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10" w:name="page211"/>
    <w:bookmarkEnd w:id="210"/>
    <w:p>
      <w:pPr>
        <w:ind w:left="500" w:right="140" w:hanging="494"/>
        <w:spacing w:after="0" w:line="277" w:lineRule="auto"/>
        <w:tabs>
          <w:tab w:leader="none" w:pos="480" w:val="left"/>
        </w:tabs>
        <w:rPr>
          <w:sz w:val="20"/>
          <w:szCs w:val="20"/>
          <w:color w:val="auto"/>
        </w:rPr>
      </w:pPr>
      <w:r>
        <w:rPr>
          <w:rFonts w:ascii="Arial" w:cs="Arial" w:eastAsia="Arial" w:hAnsi="Arial"/>
          <w:sz w:val="18"/>
          <w:szCs w:val="18"/>
          <w:color w:val="auto"/>
        </w:rPr>
        <w:t>89.11.</w:t>
        <w:tab/>
        <w:t>May resolve upon a significant acquisition as per the definition of this term in Article 1 of the Companies Law, from all of the shareholders of the Company or part thereof or any of them, at its discretion.</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89.12.</w:t>
      </w:r>
      <w:r>
        <w:rPr>
          <w:sz w:val="20"/>
          <w:szCs w:val="20"/>
          <w:color w:val="auto"/>
        </w:rPr>
        <w:tab/>
      </w:r>
      <w:r>
        <w:rPr>
          <w:rFonts w:ascii="Arial" w:cs="Arial" w:eastAsia="Arial" w:hAnsi="Arial"/>
          <w:sz w:val="16"/>
          <w:szCs w:val="16"/>
          <w:color w:val="auto"/>
        </w:rPr>
        <w:t>Will express its opinion upon a special purchase offer as stated in Article 328 of the Companies Law.</w:t>
      </w:r>
    </w:p>
    <w:p>
      <w:pPr>
        <w:spacing w:after="0" w:line="225" w:lineRule="exact"/>
        <w:rPr>
          <w:sz w:val="20"/>
          <w:szCs w:val="20"/>
          <w:color w:val="auto"/>
        </w:rPr>
      </w:pPr>
    </w:p>
    <w:p>
      <w:pPr>
        <w:ind w:left="500" w:right="140" w:hanging="494"/>
        <w:spacing w:after="0" w:line="259" w:lineRule="auto"/>
        <w:tabs>
          <w:tab w:leader="none" w:pos="480" w:val="left"/>
        </w:tabs>
        <w:rPr>
          <w:sz w:val="20"/>
          <w:szCs w:val="20"/>
          <w:color w:val="auto"/>
        </w:rPr>
      </w:pPr>
      <w:r>
        <w:rPr>
          <w:rFonts w:ascii="Arial" w:cs="Arial" w:eastAsia="Arial" w:hAnsi="Arial"/>
          <w:sz w:val="18"/>
          <w:szCs w:val="18"/>
          <w:color w:val="auto"/>
        </w:rPr>
        <w:t>89.13.</w:t>
        <w:tab/>
        <w:t>Will determine the minimum number of directors required in the Board of Directors, who must have financing and accounting expertise, as per the definition thereof under Article 240 of the Companies Law. The Board of Directors will determine the minimum number as stated taking into account, inter alia, the type of Company, its size, the scope of activity and complexity of operations, subject to the number of directors determined under Clause 77 above.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authorities of the Board of Directors under this clause may not be delegated to the CEO, save as specified in Clause 39.2(2).</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90.</w:t>
      </w:r>
      <w:r>
        <w:rPr>
          <w:sz w:val="20"/>
          <w:szCs w:val="20"/>
          <w:color w:val="auto"/>
        </w:rPr>
        <w:tab/>
      </w:r>
      <w:r>
        <w:rPr>
          <w:rFonts w:ascii="Arial" w:cs="Arial" w:eastAsia="Arial" w:hAnsi="Arial"/>
          <w:sz w:val="16"/>
          <w:szCs w:val="16"/>
          <w:color w:val="auto"/>
        </w:rPr>
        <w:t>The Board of Directors may exercise any authority of the Company not accorded by law or in these Articles to some other organ.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pacing w:after="0" w:line="225" w:lineRule="exact"/>
        <w:rPr>
          <w:sz w:val="20"/>
          <w:szCs w:val="20"/>
          <w:color w:val="auto"/>
        </w:rPr>
      </w:pPr>
    </w:p>
    <w:p>
      <w:pPr>
        <w:ind w:left="500" w:right="480" w:hanging="494"/>
        <w:spacing w:after="0" w:line="277" w:lineRule="auto"/>
        <w:tabs>
          <w:tab w:leader="none" w:pos="480" w:val="left"/>
        </w:tabs>
        <w:rPr>
          <w:sz w:val="20"/>
          <w:szCs w:val="20"/>
          <w:color w:val="auto"/>
        </w:rPr>
      </w:pPr>
      <w:r>
        <w:rPr>
          <w:rFonts w:ascii="Arial" w:cs="Arial" w:eastAsia="Arial" w:hAnsi="Arial"/>
          <w:sz w:val="18"/>
          <w:szCs w:val="18"/>
          <w:color w:val="auto"/>
        </w:rPr>
        <w:t>91.1.</w:t>
        <w:tab/>
        <w:t>The Board of Directors may resolve that authorities granted to the CEO will be transferred to its own authority, and all for a certain purpose or certain period of time.</w:t>
      </w:r>
    </w:p>
    <w:p>
      <w:pPr>
        <w:spacing w:after="0" w:line="170" w:lineRule="exact"/>
        <w:rPr>
          <w:sz w:val="20"/>
          <w:szCs w:val="20"/>
          <w:color w:val="auto"/>
        </w:rPr>
      </w:pPr>
    </w:p>
    <w:p>
      <w:pPr>
        <w:ind w:left="500" w:right="180" w:hanging="494"/>
        <w:spacing w:after="0" w:line="263" w:lineRule="auto"/>
        <w:tabs>
          <w:tab w:leader="none" w:pos="480" w:val="left"/>
        </w:tabs>
        <w:rPr>
          <w:sz w:val="20"/>
          <w:szCs w:val="20"/>
          <w:color w:val="auto"/>
        </w:rPr>
      </w:pPr>
      <w:r>
        <w:rPr>
          <w:rFonts w:ascii="Arial" w:cs="Arial" w:eastAsia="Arial" w:hAnsi="Arial"/>
          <w:sz w:val="18"/>
          <w:szCs w:val="18"/>
          <w:color w:val="auto"/>
        </w:rPr>
        <w:t>91.2.</w:t>
        <w:tab/>
        <w:t>Without detracting from that stated above, the Board of Directors may direct the CEO how to operate with regard to a certain matter. If the CEO shall fail to fulfill the instructions, the Board of Directors may exercise the authorities required for performance of the instruction in his stead.</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If the CEO was precluded from exercising his authorities, the Board of Directors may do so in his stead.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92.</w:t>
            </w:r>
          </w:p>
        </w:tc>
        <w:tc>
          <w:tcPr>
            <w:tcW w:w="10880" w:type="dxa"/>
            <w:vAlign w:val="bottom"/>
            <w:gridSpan w:val="2"/>
          </w:tcPr>
          <w:p>
            <w:pPr>
              <w:ind w:left="1260"/>
              <w:spacing w:after="0"/>
              <w:rPr>
                <w:sz w:val="20"/>
                <w:szCs w:val="20"/>
                <w:color w:val="auto"/>
              </w:rPr>
            </w:pPr>
            <w:r>
              <w:rPr>
                <w:rFonts w:ascii="Arial" w:cs="Arial" w:eastAsia="Arial" w:hAnsi="Arial"/>
                <w:sz w:val="18"/>
                <w:szCs w:val="18"/>
                <w:color w:val="auto"/>
                <w:w w:val="91"/>
              </w:rPr>
              <w:t>Subject to the provisions of the Companies Law, the Board of Directors may delegate any of the authorities of the CEO to an officer</w:t>
            </w: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140"/>
              <w:spacing w:after="0"/>
              <w:rPr>
                <w:sz w:val="20"/>
                <w:szCs w:val="20"/>
                <w:color w:val="auto"/>
              </w:rPr>
            </w:pPr>
            <w:r>
              <w:rPr>
                <w:rFonts w:ascii="Arial" w:cs="Arial" w:eastAsia="Arial" w:hAnsi="Arial"/>
                <w:sz w:val="18"/>
                <w:szCs w:val="18"/>
                <w:color w:val="auto"/>
                <w:w w:val="93"/>
              </w:rPr>
              <w:t>in the Company or some other person. Delegation of authorities of the Board of Directors may be for a certain matter or a certain period of time,</w:t>
            </w:r>
          </w:p>
        </w:tc>
      </w:tr>
      <w:tr>
        <w:trPr>
          <w:trHeight w:val="230"/>
        </w:trPr>
        <w:tc>
          <w:tcPr>
            <w:tcW w:w="360" w:type="dxa"/>
            <w:vAlign w:val="bottom"/>
          </w:tcPr>
          <w:p>
            <w:pPr>
              <w:spacing w:after="0"/>
              <w:rPr>
                <w:sz w:val="20"/>
                <w:szCs w:val="20"/>
                <w:color w:val="auto"/>
              </w:rPr>
            </w:pPr>
          </w:p>
        </w:tc>
        <w:tc>
          <w:tcPr>
            <w:tcW w:w="10880" w:type="dxa"/>
            <w:vAlign w:val="bottom"/>
            <w:gridSpan w:val="2"/>
          </w:tcPr>
          <w:p>
            <w:pPr>
              <w:ind w:left="140"/>
              <w:spacing w:after="0"/>
              <w:rPr>
                <w:sz w:val="20"/>
                <w:szCs w:val="20"/>
                <w:color w:val="auto"/>
              </w:rPr>
            </w:pPr>
            <w:r>
              <w:rPr>
                <w:rFonts w:ascii="Arial" w:cs="Arial" w:eastAsia="Arial" w:hAnsi="Arial"/>
                <w:sz w:val="18"/>
                <w:szCs w:val="18"/>
                <w:color w:val="auto"/>
              </w:rPr>
              <w:t>and all at the discretion of the Board of Directors.</w:t>
            </w:r>
          </w:p>
        </w:tc>
      </w:tr>
      <w:tr>
        <w:trPr>
          <w:trHeight w:val="392"/>
        </w:trPr>
        <w:tc>
          <w:tcPr>
            <w:tcW w:w="11240" w:type="dxa"/>
            <w:vAlign w:val="bottom"/>
            <w:gridSpan w:val="3"/>
          </w:tcPr>
          <w:p>
            <w:pPr>
              <w:spacing w:after="0"/>
              <w:rPr>
                <w:sz w:val="20"/>
                <w:szCs w:val="20"/>
                <w:color w:val="auto"/>
              </w:rPr>
            </w:pPr>
            <w:r>
              <w:rPr>
                <w:rFonts w:ascii="Arial" w:cs="Arial" w:eastAsia="Arial" w:hAnsi="Arial"/>
                <w:sz w:val="18"/>
                <w:szCs w:val="18"/>
                <w:b w:val="1"/>
                <w:bCs w:val="1"/>
                <w:color w:val="auto"/>
              </w:rPr>
              <w:t>Receiving of Credit and Granting of Guarantees and Collateral</w:t>
            </w:r>
          </w:p>
        </w:tc>
      </w:tr>
      <w:tr>
        <w:trPr>
          <w:trHeight w:val="20"/>
        </w:trPr>
        <w:tc>
          <w:tcPr>
            <w:tcW w:w="36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8"/>
                <w:szCs w:val="18"/>
                <w:color w:val="auto"/>
              </w:rPr>
              <w:t>93.</w:t>
            </w:r>
          </w:p>
        </w:tc>
        <w:tc>
          <w:tcPr>
            <w:tcW w:w="10880" w:type="dxa"/>
            <w:vAlign w:val="bottom"/>
            <w:gridSpan w:val="2"/>
          </w:tcPr>
          <w:p>
            <w:pPr>
              <w:ind w:left="1260"/>
              <w:spacing w:after="0"/>
              <w:rPr>
                <w:sz w:val="20"/>
                <w:szCs w:val="20"/>
                <w:color w:val="auto"/>
              </w:rPr>
            </w:pPr>
            <w:r>
              <w:rPr>
                <w:rFonts w:ascii="Arial" w:cs="Arial" w:eastAsia="Arial" w:hAnsi="Arial"/>
                <w:sz w:val="18"/>
                <w:szCs w:val="18"/>
                <w:color w:val="auto"/>
                <w:w w:val="93"/>
              </w:rPr>
              <w:t>Without detracting from any of the authorities accorded to the Board of Directors under these Articles, the Board of Directors may</w:t>
            </w:r>
          </w:p>
        </w:tc>
      </w:tr>
      <w:tr>
        <w:trPr>
          <w:trHeight w:val="230"/>
        </w:trPr>
        <w:tc>
          <w:tcPr>
            <w:tcW w:w="360" w:type="dxa"/>
            <w:vAlign w:val="bottom"/>
          </w:tcPr>
          <w:p>
            <w:pPr>
              <w:spacing w:after="0"/>
              <w:rPr>
                <w:sz w:val="20"/>
                <w:szCs w:val="20"/>
                <w:color w:val="auto"/>
              </w:rPr>
            </w:pPr>
          </w:p>
        </w:tc>
        <w:tc>
          <w:tcPr>
            <w:tcW w:w="10880" w:type="dxa"/>
            <w:vAlign w:val="bottom"/>
            <w:gridSpan w:val="2"/>
          </w:tcPr>
          <w:p>
            <w:pPr>
              <w:ind w:left="140"/>
              <w:spacing w:after="0"/>
              <w:rPr>
                <w:sz w:val="20"/>
                <w:szCs w:val="20"/>
                <w:color w:val="auto"/>
              </w:rPr>
            </w:pPr>
            <w:r>
              <w:rPr>
                <w:rFonts w:ascii="Arial" w:cs="Arial" w:eastAsia="Arial" w:hAnsi="Arial"/>
                <w:sz w:val="18"/>
                <w:szCs w:val="18"/>
                <w:color w:val="auto"/>
              </w:rPr>
              <w:t>from time to time at its discretion resolve upon:</w:t>
            </w:r>
          </w:p>
        </w:tc>
      </w:tr>
      <w:tr>
        <w:trPr>
          <w:trHeight w:val="1323"/>
        </w:trPr>
        <w:tc>
          <w:tcPr>
            <w:tcW w:w="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4500" w:type="dxa"/>
            <w:vAlign w:val="bottom"/>
            <w:shd w:val="clear" w:color="auto" w:fill="000000"/>
          </w:tcPr>
          <w:p>
            <w:pPr>
              <w:spacing w:after="0"/>
              <w:rPr>
                <w:sz w:val="5"/>
                <w:szCs w:val="5"/>
                <w:color w:val="auto"/>
              </w:rPr>
            </w:pPr>
          </w:p>
        </w:tc>
        <w:tc>
          <w:tcPr>
            <w:tcW w:w="6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11" w:name="page212"/>
    <w:bookmarkEnd w:id="211"/>
    <w:p>
      <w:pPr>
        <w:spacing w:after="0"/>
        <w:tabs>
          <w:tab w:leader="none" w:pos="138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6"/>
          <w:szCs w:val="16"/>
          <w:color w:val="auto"/>
        </w:rPr>
        <w:t>Receiving of credit by the Company in any amount and the securing of its discharge in the manner it shall deem proper: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6"/>
          <w:szCs w:val="16"/>
          <w:color w:val="auto"/>
        </w:rPr>
        <w:t>The granting of a guarantee, collateral and any type of security.</w:t>
      </w:r>
    </w:p>
    <w:p>
      <w:pPr>
        <w:spacing w:after="0" w:line="225" w:lineRule="exact"/>
        <w:rPr>
          <w:sz w:val="20"/>
          <w:szCs w:val="20"/>
          <w:color w:val="auto"/>
        </w:rPr>
      </w:pPr>
    </w:p>
    <w:p>
      <w:pPr>
        <w:ind w:left="500" w:hanging="494"/>
        <w:spacing w:after="0" w:line="257" w:lineRule="auto"/>
        <w:tabs>
          <w:tab w:leader="none" w:pos="480" w:val="left"/>
        </w:tabs>
        <w:rPr>
          <w:sz w:val="20"/>
          <w:szCs w:val="20"/>
          <w:color w:val="auto"/>
        </w:rPr>
      </w:pPr>
      <w:r>
        <w:rPr>
          <w:rFonts w:ascii="Arial" w:cs="Arial" w:eastAsia="Arial" w:hAnsi="Arial"/>
          <w:sz w:val="18"/>
          <w:szCs w:val="18"/>
          <w:color w:val="auto"/>
        </w:rPr>
        <w:t>93.3.</w:t>
        <w:tab/>
        <w:t>The issue of a series of bonds, including capital notes or deeds of undertaking, including debentures, capital notes or deeds of undertaking which are convertible or maybe exercised into shares, and to determine the terms thereof, to pledge its property, in whole or in part, in the present or in the future, whether by floating charge or fixed charge. Bonds, capital notes, deeds of undertaking or other securities as stated above may be issued at a discount or at a premium and in any other manner, with deferred rights or special rights and/or preferred rights and/or other rights and all as determined by the Board of Directors at its discretion.</w:t>
      </w:r>
    </w:p>
    <w:p>
      <w:pPr>
        <w:spacing w:after="0" w:line="188" w:lineRule="exact"/>
        <w:rPr>
          <w:sz w:val="20"/>
          <w:szCs w:val="20"/>
          <w:color w:val="auto"/>
        </w:rPr>
      </w:pPr>
    </w:p>
    <w:p>
      <w:pPr>
        <w:ind w:left="500" w:hanging="494"/>
        <w:spacing w:after="0" w:line="263" w:lineRule="auto"/>
        <w:tabs>
          <w:tab w:leader="none" w:pos="480" w:val="left"/>
        </w:tabs>
        <w:rPr>
          <w:sz w:val="20"/>
          <w:szCs w:val="20"/>
          <w:color w:val="auto"/>
        </w:rPr>
      </w:pPr>
      <w:r>
        <w:rPr>
          <w:rFonts w:ascii="Arial" w:cs="Arial" w:eastAsia="Arial" w:hAnsi="Arial"/>
          <w:sz w:val="18"/>
          <w:szCs w:val="18"/>
          <w:color w:val="auto"/>
        </w:rPr>
        <w:t>94.</w:t>
        <w:tab/>
        <w:t>That stated in Clause 93 above does not negate the authorities of the CEO or any party appointed therefore to resolve upon the receiving of credit by the Company and/or the issue of collateral by the Company within the limits of the credits and the collateral determined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Committees of the Board of Directors</w:t>
      </w:r>
    </w:p>
    <w:p>
      <w:pPr>
        <w:spacing w:after="0" w:line="229" w:lineRule="exact"/>
        <w:rPr>
          <w:sz w:val="20"/>
          <w:szCs w:val="20"/>
          <w:color w:val="auto"/>
        </w:rPr>
      </w:pPr>
    </w:p>
    <w:p>
      <w:pPr>
        <w:jc w:val="both"/>
        <w:ind w:left="500" w:right="20" w:hanging="494"/>
        <w:spacing w:after="0" w:line="291" w:lineRule="auto"/>
        <w:tabs>
          <w:tab w:leader="none" w:pos="4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 xml:space="preserve">Subject to the provisions of the Companies Law, the Board of Directors may as it deems proper, establish committees of two or more members, appoint members from out of the members of the Board of Directors (hereinafter: “ </w:t>
      </w:r>
      <w:r>
        <w:rPr>
          <w:rFonts w:ascii="Arial" w:cs="Arial" w:eastAsia="Arial" w:hAnsi="Arial"/>
          <w:sz w:val="16"/>
          <w:szCs w:val="16"/>
          <w:b w:val="1"/>
          <w:bCs w:val="1"/>
          <w:color w:val="auto"/>
        </w:rPr>
        <w:t>Board of Directors committee”),</w:t>
      </w:r>
      <w:r>
        <w:rPr>
          <w:rFonts w:ascii="Arial" w:cs="Arial" w:eastAsia="Arial" w:hAnsi="Arial"/>
          <w:sz w:val="16"/>
          <w:szCs w:val="16"/>
          <w:color w:val="auto"/>
        </w:rPr>
        <w:t xml:space="preserve"> and to delegate to</w:t>
      </w:r>
    </w:p>
    <w:p>
      <w:pPr>
        <w:ind w:left="500"/>
        <w:spacing w:after="0"/>
        <w:rPr>
          <w:sz w:val="20"/>
          <w:szCs w:val="20"/>
          <w:color w:val="auto"/>
        </w:rPr>
      </w:pPr>
      <w:r>
        <w:rPr>
          <w:rFonts w:ascii="Arial" w:cs="Arial" w:eastAsia="Arial" w:hAnsi="Arial"/>
          <w:sz w:val="18"/>
          <w:szCs w:val="18"/>
          <w:color w:val="auto"/>
        </w:rPr>
        <w:t>the Board of Directors committee its authorities, in whole or in part.</w:t>
      </w:r>
    </w:p>
    <w:p>
      <w:pPr>
        <w:spacing w:after="0" w:line="21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 a Board of Directors committee to which the Board of Directors has delegated any of its authorities, only members of the Board of Directors may serve. In a Board of Directors committee whose function is to advise the Board of Directors or recommend only, parties who are not members of the Board of Directors may serve.</w:t>
      </w:r>
    </w:p>
    <w:p>
      <w:pPr>
        <w:spacing w:after="0" w:line="184"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Notwithstanding that stated above, in the following matters, the Board of Directors may not delegate any of its authorities to a Board of Directors committee, but rather shall be entitled to establish committees for recommendation only:</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Determination of general policies of the Company.</w:t>
      </w:r>
    </w:p>
    <w:p>
      <w:pPr>
        <w:spacing w:after="0" w:line="225" w:lineRule="exact"/>
        <w:rPr>
          <w:sz w:val="20"/>
          <w:szCs w:val="20"/>
          <w:color w:val="auto"/>
        </w:rPr>
      </w:pPr>
    </w:p>
    <w:p>
      <w:pPr>
        <w:ind w:left="500" w:right="320" w:hanging="494"/>
        <w:spacing w:after="0" w:line="277" w:lineRule="auto"/>
        <w:tabs>
          <w:tab w:leader="none" w:pos="480" w:val="left"/>
        </w:tabs>
        <w:rPr>
          <w:sz w:val="20"/>
          <w:szCs w:val="20"/>
          <w:color w:val="auto"/>
        </w:rPr>
      </w:pPr>
      <w:r>
        <w:rPr>
          <w:rFonts w:ascii="Arial" w:cs="Arial" w:eastAsia="Arial" w:hAnsi="Arial"/>
          <w:sz w:val="18"/>
          <w:szCs w:val="18"/>
          <w:color w:val="auto"/>
        </w:rPr>
        <w:t>95.2.</w:t>
        <w:tab/>
        <w:t>Distribution, save for the purchase of shares of the Company in accordance with a framework determined in advance by the Board of Directors.</w:t>
      </w:r>
    </w:p>
    <w:p>
      <w:pPr>
        <w:spacing w:after="0" w:line="170" w:lineRule="exact"/>
        <w:rPr>
          <w:sz w:val="20"/>
          <w:szCs w:val="20"/>
          <w:color w:val="auto"/>
        </w:rPr>
      </w:pPr>
    </w:p>
    <w:p>
      <w:pPr>
        <w:ind w:left="500" w:right="160" w:hanging="494"/>
        <w:spacing w:after="0" w:line="277" w:lineRule="auto"/>
        <w:tabs>
          <w:tab w:leader="none" w:pos="480" w:val="left"/>
        </w:tabs>
        <w:rPr>
          <w:sz w:val="20"/>
          <w:szCs w:val="20"/>
          <w:color w:val="auto"/>
        </w:rPr>
      </w:pPr>
      <w:r>
        <w:rPr>
          <w:rFonts w:ascii="Arial" w:cs="Arial" w:eastAsia="Arial" w:hAnsi="Arial"/>
          <w:sz w:val="18"/>
          <w:szCs w:val="18"/>
          <w:color w:val="auto"/>
        </w:rPr>
        <w:t>95.3.</w:t>
        <w:tab/>
        <w:t>Determination of the position of the Board of Directors on a matter requiring approval of the general meeting or the issue of an opinion on the profitability of a special purchase offer, as stated in Article 329 of the Companies Law.</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95.4.</w:t>
      </w:r>
      <w:r>
        <w:rPr>
          <w:sz w:val="20"/>
          <w:szCs w:val="20"/>
          <w:color w:val="auto"/>
        </w:rPr>
        <w:tab/>
      </w:r>
      <w:r>
        <w:rPr>
          <w:rFonts w:ascii="Arial" w:cs="Arial" w:eastAsia="Arial" w:hAnsi="Arial"/>
          <w:sz w:val="16"/>
          <w:szCs w:val="16"/>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2" w:name="page213"/>
    <w:bookmarkEnd w:id="212"/>
    <w:p>
      <w:pPr>
        <w:ind w:left="500" w:right="260" w:hanging="494"/>
        <w:spacing w:after="0" w:line="277" w:lineRule="auto"/>
        <w:tabs>
          <w:tab w:leader="none" w:pos="480" w:val="left"/>
        </w:tabs>
        <w:rPr>
          <w:sz w:val="20"/>
          <w:szCs w:val="20"/>
          <w:color w:val="auto"/>
        </w:rPr>
      </w:pPr>
      <w:r>
        <w:rPr>
          <w:rFonts w:ascii="Arial" w:cs="Arial" w:eastAsia="Arial" w:hAnsi="Arial"/>
          <w:sz w:val="18"/>
          <w:szCs w:val="18"/>
          <w:color w:val="auto"/>
        </w:rPr>
        <w:t>95.5.</w:t>
        <w:tab/>
        <w:t>Issue or allotment of shares or of securities convertible into shares or which may be exercised into shares, or a series of bonds, save as specified in Clause 39.2 above.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95.6.</w:t>
      </w:r>
      <w:r>
        <w:rPr>
          <w:sz w:val="20"/>
          <w:szCs w:val="20"/>
          <w:color w:val="auto"/>
        </w:rPr>
        <w:tab/>
      </w:r>
      <w:r>
        <w:rPr>
          <w:rFonts w:ascii="Arial" w:cs="Arial" w:eastAsia="Arial" w:hAnsi="Arial"/>
          <w:sz w:val="16"/>
          <w:szCs w:val="16"/>
          <w:color w:val="auto"/>
        </w:rPr>
        <w:t>Approval of financial reports.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95.7.</w:t>
      </w:r>
      <w:r>
        <w:rPr>
          <w:sz w:val="20"/>
          <w:szCs w:val="20"/>
          <w:color w:val="auto"/>
        </w:rPr>
        <w:tab/>
      </w:r>
      <w:r>
        <w:rPr>
          <w:rFonts w:ascii="Arial" w:cs="Arial" w:eastAsia="Arial" w:hAnsi="Arial"/>
          <w:sz w:val="16"/>
          <w:szCs w:val="16"/>
          <w:color w:val="auto"/>
        </w:rPr>
        <w:t>Approval of transactions and actions requiring approval of the Board of Directors under the provisions of Articles 255 and 268 through</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275 of the Companies Law.</w:t>
      </w:r>
    </w:p>
    <w:p>
      <w:pPr>
        <w:spacing w:after="0" w:line="211" w:lineRule="exact"/>
        <w:rPr>
          <w:sz w:val="20"/>
          <w:szCs w:val="20"/>
          <w:color w:val="auto"/>
        </w:rPr>
      </w:pPr>
    </w:p>
    <w:p>
      <w:pPr>
        <w:ind w:left="500" w:hanging="494"/>
        <w:spacing w:after="0" w:line="257" w:lineRule="auto"/>
        <w:tabs>
          <w:tab w:leader="none" w:pos="480" w:val="left"/>
        </w:tabs>
        <w:rPr>
          <w:sz w:val="20"/>
          <w:szCs w:val="20"/>
          <w:color w:val="auto"/>
        </w:rPr>
      </w:pPr>
      <w:r>
        <w:rPr>
          <w:rFonts w:ascii="Arial" w:cs="Arial" w:eastAsia="Arial" w:hAnsi="Arial"/>
          <w:sz w:val="18"/>
          <w:szCs w:val="18"/>
          <w:color w:val="auto"/>
        </w:rPr>
        <w:t>96.</w:t>
        <w:tab/>
        <w:t>A resolution passed or an action carried out by a Board of Directors committee, is deemed a resolution passed or an action carried out by the Board of Directors save if determined explicitly otherwise by the Board of Directors, for a certain matter or for a certain committee. The Board of Directors may from time to time expand, reduce or cancel the delegation of authorities to a Board of Directors committee, but the reduction or cancellation as stated shall not prejudice the validity of a resolution of the committee according to which the Company has acted as towards some other person who was unaware of the cancellation.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225" w:lineRule="exact"/>
        <w:rPr>
          <w:sz w:val="20"/>
          <w:szCs w:val="20"/>
          <w:color w:val="auto"/>
        </w:rPr>
      </w:pPr>
    </w:p>
    <w:p>
      <w:pPr>
        <w:ind w:left="500" w:right="80" w:hanging="494"/>
        <w:spacing w:after="0" w:line="277" w:lineRule="auto"/>
        <w:tabs>
          <w:tab w:leader="none" w:pos="480" w:val="left"/>
        </w:tabs>
        <w:rPr>
          <w:sz w:val="20"/>
          <w:szCs w:val="20"/>
          <w:color w:val="auto"/>
        </w:rPr>
      </w:pPr>
      <w:r>
        <w:rPr>
          <w:rFonts w:ascii="Arial" w:cs="Arial" w:eastAsia="Arial" w:hAnsi="Arial"/>
          <w:sz w:val="18"/>
          <w:szCs w:val="18"/>
          <w:color w:val="auto"/>
        </w:rPr>
        <w:t>97.1.</w:t>
        <w:tab/>
        <w:t>The legal quorum for the opening of a Board of Directors committee shall be two committee members who are serving at the time of the meeting, or their alternates, unless determined otherwise by the Board of Directors.</w:t>
      </w:r>
    </w:p>
    <w:p>
      <w:pPr>
        <w:spacing w:after="0" w:line="170" w:lineRule="exact"/>
        <w:rPr>
          <w:sz w:val="20"/>
          <w:szCs w:val="20"/>
          <w:color w:val="auto"/>
        </w:rPr>
      </w:pPr>
    </w:p>
    <w:p>
      <w:pPr>
        <w:ind w:left="500" w:right="220" w:hanging="494"/>
        <w:spacing w:after="0" w:line="263" w:lineRule="auto"/>
        <w:tabs>
          <w:tab w:leader="none" w:pos="480" w:val="left"/>
        </w:tabs>
        <w:rPr>
          <w:sz w:val="20"/>
          <w:szCs w:val="20"/>
          <w:color w:val="auto"/>
        </w:rPr>
      </w:pPr>
      <w:r>
        <w:rPr>
          <w:rFonts w:ascii="Arial" w:cs="Arial" w:eastAsia="Arial" w:hAnsi="Arial"/>
          <w:sz w:val="18"/>
          <w:szCs w:val="18"/>
          <w:color w:val="auto"/>
        </w:rPr>
        <w:t>97.2.</w:t>
        <w:tab/>
        <w:t>The general provisions of these Articles with regard to the operation of the Board of Directors shall apply, mutatis mutandis, also upon the Board of Directors committees so long as they have not been replaced by directives issued by the Board of Directors for such matter, and all subject to the provisions of the Companies Law.</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97.3.</w:t>
      </w:r>
      <w:r>
        <w:rPr>
          <w:sz w:val="20"/>
          <w:szCs w:val="20"/>
          <w:color w:val="auto"/>
        </w:rPr>
        <w:tab/>
      </w:r>
      <w:r>
        <w:rPr>
          <w:rFonts w:ascii="Arial" w:cs="Arial" w:eastAsia="Arial" w:hAnsi="Arial"/>
          <w:sz w:val="16"/>
          <w:szCs w:val="16"/>
          <w:color w:val="auto"/>
        </w:rPr>
        <w:t>The Board of Directors committee shall report to the Board of Directors continuously upon its resolutions or recommendations.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225" w:lineRule="exact"/>
        <w:rPr>
          <w:sz w:val="20"/>
          <w:szCs w:val="20"/>
          <w:color w:val="auto"/>
        </w:rPr>
      </w:pPr>
    </w:p>
    <w:p>
      <w:pPr>
        <w:ind w:left="500" w:right="360" w:hanging="494"/>
        <w:spacing w:after="0" w:line="259" w:lineRule="auto"/>
        <w:tabs>
          <w:tab w:leader="none" w:pos="480" w:val="left"/>
        </w:tabs>
        <w:rPr>
          <w:sz w:val="20"/>
          <w:szCs w:val="20"/>
          <w:color w:val="auto"/>
        </w:rPr>
      </w:pPr>
      <w:r>
        <w:rPr>
          <w:rFonts w:ascii="Arial" w:cs="Arial" w:eastAsia="Arial" w:hAnsi="Arial"/>
          <w:sz w:val="18"/>
          <w:szCs w:val="18"/>
          <w:color w:val="auto"/>
        </w:rPr>
        <w:t>98.1.</w:t>
        <w:tab/>
        <w:t>The Board of Directors will appoint an audit committee from amongst its members. The number of members of the audit committee shall not be less than three and all of the external directors (to the extent there is an obligation to appoint them) shall be members therein. The following shall not be members of the audit committee: The chairman of the Board of Directors, any director employed by the Company or routinely providing services to it, and a controlling interest in the Company or his relation.</w:t>
      </w:r>
    </w:p>
    <w:p>
      <w:pPr>
        <w:spacing w:after="0" w:line="187" w:lineRule="exact"/>
        <w:rPr>
          <w:sz w:val="20"/>
          <w:szCs w:val="20"/>
          <w:color w:val="auto"/>
        </w:rPr>
      </w:pPr>
    </w:p>
    <w:p>
      <w:pPr>
        <w:ind w:left="500" w:right="140" w:hanging="494"/>
        <w:spacing w:after="0" w:line="277" w:lineRule="auto"/>
        <w:tabs>
          <w:tab w:leader="none" w:pos="480" w:val="left"/>
        </w:tabs>
        <w:rPr>
          <w:sz w:val="20"/>
          <w:szCs w:val="20"/>
          <w:color w:val="auto"/>
        </w:rPr>
      </w:pPr>
      <w:r>
        <w:rPr>
          <w:rFonts w:ascii="Arial" w:cs="Arial" w:eastAsia="Arial" w:hAnsi="Arial"/>
          <w:sz w:val="18"/>
          <w:szCs w:val="18"/>
          <w:color w:val="auto"/>
        </w:rPr>
        <w:t>98.2.</w:t>
        <w:tab/>
        <w:t>The functions of the audit committee shall be as determined in the Companies Law including any other function imposed upon it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431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auto"/>
        </w:rPr>
        <w:t>Actions of the Board of Directors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99.</w:t>
            </w:r>
          </w:p>
        </w:tc>
        <w:tc>
          <w:tcPr>
            <w:tcW w:w="10500" w:type="dxa"/>
            <w:vAlign w:val="bottom"/>
          </w:tcPr>
          <w:p>
            <w:pPr>
              <w:ind w:left="1260"/>
              <w:spacing w:after="0"/>
              <w:rPr>
                <w:sz w:val="20"/>
                <w:szCs w:val="20"/>
                <w:color w:val="auto"/>
              </w:rPr>
            </w:pPr>
            <w:r>
              <w:rPr>
                <w:rFonts w:ascii="Arial" w:cs="Arial" w:eastAsia="Arial" w:hAnsi="Arial"/>
                <w:sz w:val="18"/>
                <w:szCs w:val="18"/>
                <w:color w:val="auto"/>
                <w:w w:val="91"/>
              </w:rPr>
              <w:t>Subject to the provisions of these Articles, the Board of Directors may convene for purposes of performance of its functions and</w:t>
            </w:r>
          </w:p>
        </w:tc>
      </w:tr>
      <w:tr>
        <w:trPr>
          <w:trHeight w:val="230"/>
        </w:trPr>
        <w:tc>
          <w:tcPr>
            <w:tcW w:w="360" w:type="dxa"/>
            <w:vAlign w:val="bottom"/>
          </w:tcPr>
          <w:p>
            <w:pPr>
              <w:spacing w:after="0"/>
              <w:rPr>
                <w:sz w:val="20"/>
                <w:szCs w:val="20"/>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postpone its meetings and regulate its activities and deliberations as it shall deem fit.</w:t>
            </w:r>
          </w:p>
        </w:tc>
      </w:tr>
    </w:tbl>
    <w:p>
      <w:pPr>
        <w:spacing w:after="0" w:line="198" w:lineRule="exact"/>
        <w:rPr>
          <w:sz w:val="20"/>
          <w:szCs w:val="20"/>
          <w:color w:val="auto"/>
        </w:rPr>
      </w:pPr>
    </w:p>
    <w:p>
      <w:pPr>
        <w:ind w:left="500" w:hanging="492"/>
        <w:spacing w:after="0" w:line="277" w:lineRule="auto"/>
        <w:tabs>
          <w:tab w:leader="none" w:pos="139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The Board of Directors will appoint one of its members as chairman of the Board of Directors (hereinafter </w:t>
      </w:r>
      <w:r>
        <w:rPr>
          <w:rFonts w:ascii="Arial" w:cs="Arial" w:eastAsia="Arial" w:hAnsi="Arial"/>
          <w:sz w:val="17"/>
          <w:szCs w:val="17"/>
          <w:b w:val="1"/>
          <w:bCs w:val="1"/>
          <w:color w:val="auto"/>
        </w:rPr>
        <w:t>“Chairman of the Board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Directors” </w:t>
      </w:r>
      <w:r>
        <w:rPr>
          <w:rFonts w:ascii="Arial" w:cs="Arial" w:eastAsia="Arial" w:hAnsi="Arial"/>
          <w:sz w:val="17"/>
          <w:szCs w:val="17"/>
          <w:color w:val="auto"/>
        </w:rPr>
        <w:t>). The Board of Directors may appoint one or more of its members as deputy chairman of the Board of Directors who shall serve as</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chairman in his absence. The Board of Directors may determine the period for which the chairman and his deputies shall serve. In the absence of such determination, the chairman of the Board of Directors and his deputies shall serve for so long as they serve as directors and no resolution has been passed by the Board of Directors of the Company upon their replacement.</w:t>
      </w:r>
    </w:p>
    <w:p>
      <w:pPr>
        <w:spacing w:after="0" w:line="171" w:lineRule="exact"/>
        <w:rPr>
          <w:rFonts w:ascii="Arial" w:cs="Arial" w:eastAsia="Arial" w:hAnsi="Arial"/>
          <w:sz w:val="17"/>
          <w:szCs w:val="17"/>
          <w:color w:val="auto"/>
        </w:rPr>
      </w:pPr>
    </w:p>
    <w:p>
      <w:pPr>
        <w:ind w:left="500" w:right="80" w:hanging="492"/>
        <w:spacing w:after="0" w:line="296" w:lineRule="auto"/>
        <w:tabs>
          <w:tab w:leader="none" w:pos="139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chairman of the Board of Directors shall chair meetings of the Board of Directors and shall conduct them. If the chairman of the Board of Directors is absent from a meeting of the Board of Directors, in accordance with a notice delivered in advance, or has failed to appear to a meeting of the Board of Directors within 15 minutes from the date determined for the meeting (hereinafter: </w:t>
      </w:r>
      <w:r>
        <w:rPr>
          <w:rFonts w:ascii="Arial" w:cs="Arial" w:eastAsia="Arial" w:hAnsi="Arial"/>
          <w:sz w:val="16"/>
          <w:szCs w:val="16"/>
          <w:b w:val="1"/>
          <w:bCs w:val="1"/>
          <w:color w:val="auto"/>
        </w:rPr>
        <w:t>“absence”</w:t>
      </w:r>
      <w:r>
        <w:rPr>
          <w:rFonts w:ascii="Arial" w:cs="Arial" w:eastAsia="Arial" w:hAnsi="Arial"/>
          <w:sz w:val="16"/>
          <w:szCs w:val="16"/>
          <w:color w:val="auto"/>
        </w:rPr>
        <w:t xml:space="preserve"> ), then the deputy chairman of the Board of Directors shall chair the meeting (if one was appointed). In the absence of both the chairman of the Board of Directors and his deputy from the meeting, members of the Board of Directors who are present will elect one of their members as chairman of the meeting.</w:t>
      </w:r>
    </w:p>
    <w:p>
      <w:pPr>
        <w:spacing w:after="0" w:line="161" w:lineRule="exact"/>
        <w:rPr>
          <w:rFonts w:ascii="Arial" w:cs="Arial" w:eastAsia="Arial" w:hAnsi="Arial"/>
          <w:sz w:val="16"/>
          <w:szCs w:val="16"/>
          <w:color w:val="auto"/>
        </w:rPr>
      </w:pPr>
    </w:p>
    <w:p>
      <w:pPr>
        <w:ind w:left="1400" w:hanging="1392"/>
        <w:spacing w:after="0"/>
        <w:tabs>
          <w:tab w:leader="none" w:pos="14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Board of Directors will convene as per the requirements of the Company, and at least once every three months.</w:t>
      </w:r>
    </w:p>
    <w:p>
      <w:pPr>
        <w:spacing w:after="0" w:line="225" w:lineRule="exact"/>
        <w:rPr>
          <w:rFonts w:ascii="Arial" w:cs="Arial" w:eastAsia="Arial" w:hAnsi="Arial"/>
          <w:sz w:val="18"/>
          <w:szCs w:val="18"/>
          <w:color w:val="auto"/>
        </w:rPr>
      </w:pPr>
    </w:p>
    <w:p>
      <w:pPr>
        <w:ind w:left="500" w:right="200" w:hanging="492"/>
        <w:spacing w:after="0" w:line="277" w:lineRule="auto"/>
        <w:tabs>
          <w:tab w:leader="none" w:pos="13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chairman of the Board of Directors may convene the Board of Directors at any time, and determine the place and the date for the meeting of the Board of Directors.</w:t>
      </w:r>
    </w:p>
    <w:p>
      <w:pPr>
        <w:spacing w:after="0" w:line="170" w:lineRule="exact"/>
        <w:rPr>
          <w:rFonts w:ascii="Arial" w:cs="Arial" w:eastAsia="Arial" w:hAnsi="Arial"/>
          <w:sz w:val="18"/>
          <w:szCs w:val="18"/>
          <w:color w:val="auto"/>
        </w:rPr>
      </w:pPr>
    </w:p>
    <w:p>
      <w:pPr>
        <w:ind w:left="500" w:right="180" w:hanging="492"/>
        <w:spacing w:after="0" w:line="277" w:lineRule="auto"/>
        <w:tabs>
          <w:tab w:leader="none" w:pos="13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Without detracting from that stated above, the chairman of the Board of Directors shall be required to convene the Board of Directors upon the occurrence of one of the following:</w:t>
      </w:r>
    </w:p>
    <w:p>
      <w:pPr>
        <w:spacing w:after="0" w:line="170" w:lineRule="exact"/>
        <w:rPr>
          <w:sz w:val="20"/>
          <w:szCs w:val="20"/>
          <w:color w:val="auto"/>
        </w:rPr>
      </w:pPr>
    </w:p>
    <w:p>
      <w:pPr>
        <w:ind w:left="500" w:right="220" w:hanging="494"/>
        <w:spacing w:after="0" w:line="263" w:lineRule="auto"/>
        <w:tabs>
          <w:tab w:leader="none" w:pos="480" w:val="left"/>
        </w:tabs>
        <w:rPr>
          <w:sz w:val="20"/>
          <w:szCs w:val="20"/>
          <w:color w:val="auto"/>
        </w:rPr>
      </w:pPr>
      <w:r>
        <w:rPr>
          <w:rFonts w:ascii="Arial" w:cs="Arial" w:eastAsia="Arial" w:hAnsi="Arial"/>
          <w:sz w:val="18"/>
          <w:szCs w:val="18"/>
          <w:color w:val="auto"/>
        </w:rPr>
        <w:t>104.1.</w:t>
        <w:tab/>
        <w:t>Receiving a demand for convening of the Board of Directors from at least two directors, for deliberation upon a matter which shall be specified in their demand, and if there are five directors in the Company (or less), a demand for convening of the Board of Directors from at least one director shall suffice for conducting of a discussion on the matter specified in his demand.</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Receiving notice or report of the CEO which requires an action of the Board of Directors.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Receiving notice from the auditing accountant of material defects in the accounting auditing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4" w:name="page215"/>
    <w:bookmarkEnd w:id="214"/>
    <w:p>
      <w:pPr>
        <w:ind w:left="500" w:right="420" w:hanging="492"/>
        <w:spacing w:after="0" w:line="277" w:lineRule="auto"/>
        <w:tabs>
          <w:tab w:leader="none" w:pos="139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Upon receipt of the notice or report as stated, the chairman of the Board of Directors shall convene the Board of Directors, without delay, not later than the passage of 14 days from the date of the demand, report or notice, as the case may be.</w:t>
      </w:r>
    </w:p>
    <w:p>
      <w:pPr>
        <w:spacing w:after="0" w:line="170" w:lineRule="exact"/>
        <w:rPr>
          <w:sz w:val="20"/>
          <w:szCs w:val="20"/>
          <w:color w:val="auto"/>
        </w:rPr>
      </w:pPr>
    </w:p>
    <w:p>
      <w:pPr>
        <w:ind w:left="500" w:right="100" w:hanging="494"/>
        <w:spacing w:after="0" w:line="277" w:lineRule="auto"/>
        <w:tabs>
          <w:tab w:leader="none" w:pos="480" w:val="left"/>
        </w:tabs>
        <w:rPr>
          <w:sz w:val="20"/>
          <w:szCs w:val="20"/>
          <w:color w:val="auto"/>
        </w:rPr>
      </w:pPr>
      <w:r>
        <w:rPr>
          <w:rFonts w:ascii="Arial" w:cs="Arial" w:eastAsia="Arial" w:hAnsi="Arial"/>
          <w:sz w:val="18"/>
          <w:szCs w:val="18"/>
          <w:color w:val="auto"/>
        </w:rPr>
        <w:t>105.1.</w:t>
        <w:tab/>
        <w:t>Notice in advance of the convening of the Board of Directors shall be provided to each of the members of the Board of Directors three days prior to the date of the meeting.</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Notwithstanding that stated above, the Board of Directors may, at the consent of all of the directors, convene for a meeting without notice.</w:t>
      </w:r>
    </w:p>
    <w:p>
      <w:pPr>
        <w:spacing w:after="0" w:line="225" w:lineRule="exact"/>
        <w:rPr>
          <w:sz w:val="20"/>
          <w:szCs w:val="20"/>
          <w:color w:val="auto"/>
        </w:rPr>
      </w:pPr>
    </w:p>
    <w:p>
      <w:pPr>
        <w:ind w:left="1400" w:hanging="1392"/>
        <w:spacing w:after="0"/>
        <w:tabs>
          <w:tab w:leader="none" w:pos="14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agenda of meetings of the Board of Directors will be determined by the chairman of the Board of Directors and shall include:</w:t>
      </w:r>
    </w:p>
    <w:p>
      <w:pPr>
        <w:spacing w:after="0" w:line="236" w:lineRule="exact"/>
        <w:rPr>
          <w:rFonts w:ascii="Arial" w:cs="Arial" w:eastAsia="Arial" w:hAnsi="Arial"/>
          <w:sz w:val="17"/>
          <w:szCs w:val="17"/>
          <w:color w:val="auto"/>
        </w:rPr>
      </w:pPr>
    </w:p>
    <w:p>
      <w:pPr>
        <w:ind w:left="1080" w:hanging="107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Matters determined by the chairman of the Board of Directors.</w:t>
      </w:r>
    </w:p>
    <w:p>
      <w:pPr>
        <w:spacing w:after="0" w:line="225" w:lineRule="exact"/>
        <w:rPr>
          <w:rFonts w:ascii="Arial" w:cs="Arial" w:eastAsia="Arial" w:hAnsi="Arial"/>
          <w:sz w:val="18"/>
          <w:szCs w:val="18"/>
          <w:color w:val="auto"/>
        </w:rPr>
      </w:pPr>
    </w:p>
    <w:p>
      <w:pPr>
        <w:ind w:left="1080" w:hanging="1072"/>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Matters determined as stated in Clause 104 above.</w:t>
      </w:r>
    </w:p>
    <w:p>
      <w:pPr>
        <w:spacing w:after="0" w:line="225"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8"/>
          <w:szCs w:val="18"/>
          <w:color w:val="auto"/>
        </w:rPr>
        <w:t>106.3.</w:t>
        <w:tab/>
        <w:t xml:space="preserve">Any matter which a director or the CEO has requested of the chairman of the Board of Directors, a reasonable time prior to the convening of the meeting of the Board of Directors, to be included in the agenda (hereinafter: “ </w:t>
      </w:r>
      <w:r>
        <w:rPr>
          <w:rFonts w:ascii="Arial" w:cs="Arial" w:eastAsia="Arial" w:hAnsi="Arial"/>
          <w:sz w:val="18"/>
          <w:szCs w:val="18"/>
          <w:b w:val="1"/>
          <w:bCs w:val="1"/>
          <w:color w:val="auto"/>
        </w:rPr>
        <w:t>the agenda</w:t>
      </w:r>
      <w:r>
        <w:rPr>
          <w:rFonts w:ascii="Arial" w:cs="Arial" w:eastAsia="Arial" w:hAnsi="Arial"/>
          <w:sz w:val="18"/>
          <w:szCs w:val="18"/>
          <w:color w:val="auto"/>
        </w:rPr>
        <w:t xml:space="preserve"> ”).</w:t>
      </w:r>
    </w:p>
    <w:p>
      <w:pPr>
        <w:spacing w:after="0" w:line="170" w:lineRule="exact"/>
        <w:rPr>
          <w:sz w:val="20"/>
          <w:szCs w:val="20"/>
          <w:color w:val="auto"/>
        </w:rPr>
      </w:pPr>
    </w:p>
    <w:p>
      <w:pPr>
        <w:ind w:left="500" w:right="300" w:hanging="492"/>
        <w:spacing w:after="0" w:line="308" w:lineRule="auto"/>
        <w:tabs>
          <w:tab w:leader="none" w:pos="139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notice of the convening of the Board of Directors shall indicate the date of the meeting, its location and reasonable details of the matters to be discussed at the meeting, in accordance with the agenda. The notice may be in writing and it may be oral.</w:t>
      </w:r>
    </w:p>
    <w:p>
      <w:pPr>
        <w:spacing w:after="0" w:line="146" w:lineRule="exact"/>
        <w:rPr>
          <w:rFonts w:ascii="Arial" w:cs="Arial" w:eastAsia="Arial" w:hAnsi="Arial"/>
          <w:sz w:val="17"/>
          <w:szCs w:val="17"/>
          <w:color w:val="auto"/>
        </w:rPr>
      </w:pPr>
    </w:p>
    <w:p>
      <w:pPr>
        <w:ind w:left="500" w:right="240" w:hanging="492"/>
        <w:spacing w:after="0" w:line="263" w:lineRule="auto"/>
        <w:tabs>
          <w:tab w:leader="none" w:pos="13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Notice of a meeting of the Board of Directors, if the notice is delivered in writing, shall be delivered to the address which the director provided to the Company in advance save if the director has requested that the notice be delivered to him at some other location or if he has consented to its delivery at some other location.</w:t>
      </w:r>
    </w:p>
    <w:p>
      <w:pPr>
        <w:spacing w:after="0" w:line="183" w:lineRule="exact"/>
        <w:rPr>
          <w:rFonts w:ascii="Arial" w:cs="Arial" w:eastAsia="Arial" w:hAnsi="Arial"/>
          <w:sz w:val="18"/>
          <w:szCs w:val="18"/>
          <w:color w:val="auto"/>
        </w:rPr>
      </w:pPr>
    </w:p>
    <w:p>
      <w:pPr>
        <w:ind w:left="500" w:right="220" w:hanging="492"/>
        <w:spacing w:after="0" w:line="277" w:lineRule="auto"/>
        <w:tabs>
          <w:tab w:leader="none" w:pos="13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legal quorum for the opening of a meeting of the Board of Directors shall be a majority of the members of the Board of Directors serving at the time of the meeting and entitled to participate therein, themselves or their alternates.</w:t>
      </w:r>
    </w:p>
    <w:p>
      <w:pPr>
        <w:spacing w:after="0" w:line="170" w:lineRule="exact"/>
        <w:rPr>
          <w:sz w:val="20"/>
          <w:szCs w:val="20"/>
          <w:color w:val="auto"/>
        </w:rPr>
      </w:pPr>
    </w:p>
    <w:p>
      <w:pPr>
        <w:ind w:left="500"/>
        <w:spacing w:after="0" w:line="263" w:lineRule="auto"/>
        <w:rPr>
          <w:sz w:val="20"/>
          <w:szCs w:val="20"/>
          <w:color w:val="auto"/>
        </w:rPr>
      </w:pPr>
      <w:r>
        <w:rPr>
          <w:rFonts w:ascii="Arial" w:cs="Arial" w:eastAsia="Arial" w:hAnsi="Arial"/>
          <w:sz w:val="18"/>
          <w:szCs w:val="18"/>
          <w:color w:val="auto"/>
        </w:rPr>
        <w:t>In the absence of a legal quorum upon the passage of half of an hour from the time determined for the meeting of the Board of Directors, the meeting shall be postponed for 48 hours. At a postponed meeting as stated in the absence of a legal quorum within half of an hour from the convening, the directors who are present and entitled to vote shall constitute the legal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pacing w:after="0" w:line="225" w:lineRule="exact"/>
        <w:rPr>
          <w:sz w:val="20"/>
          <w:szCs w:val="20"/>
          <w:color w:val="auto"/>
        </w:rPr>
      </w:pPr>
    </w:p>
    <w:p>
      <w:pPr>
        <w:jc w:val="both"/>
        <w:ind w:left="500" w:right="80" w:hanging="494"/>
        <w:spacing w:after="0" w:line="263" w:lineRule="auto"/>
        <w:tabs>
          <w:tab w:leader="none" w:pos="480" w:val="left"/>
        </w:tabs>
        <w:rPr>
          <w:sz w:val="20"/>
          <w:szCs w:val="20"/>
          <w:color w:val="auto"/>
        </w:rPr>
      </w:pPr>
      <w:r>
        <w:rPr>
          <w:rFonts w:ascii="Arial" w:cs="Arial" w:eastAsia="Arial" w:hAnsi="Arial"/>
          <w:sz w:val="18"/>
          <w:szCs w:val="18"/>
          <w:color w:val="auto"/>
        </w:rPr>
        <w:t>110.1.</w:t>
        <w:tab/>
        <w:t>In a vote in the Board of Directors, each director shall have one vote. Resolutions of the Board of Directors shall be passed by a majority of the votes of the directors present at the meeting and voting therein, without taking into account abstentions. The chairman of the Board of Directors shall not have a decisive vote in the event of a 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431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spacing w:after="0"/>
        <w:tabs>
          <w:tab w:leader="none" w:pos="106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In the event of tied votes, the proposed resolution upon which the members of the Board of Directors have voted shall be deemed rejected.</w:t>
      </w:r>
    </w:p>
    <w:p>
      <w:pPr>
        <w:spacing w:after="0" w:line="225" w:lineRule="exact"/>
        <w:rPr>
          <w:sz w:val="20"/>
          <w:szCs w:val="20"/>
          <w:color w:val="auto"/>
        </w:rPr>
      </w:pPr>
    </w:p>
    <w:p>
      <w:pPr>
        <w:ind w:left="500" w:right="200" w:hanging="492"/>
        <w:spacing w:after="0" w:line="263" w:lineRule="auto"/>
        <w:tabs>
          <w:tab w:leader="none" w:pos="138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Board of Directors may conduct meetings by any means of communication and provided that all of the directors participating can hear each other simultaneously. The Board of Directors may regulate the manner and the methods for the conduct of its meetings by means of communication.</w:t>
      </w:r>
    </w:p>
    <w:p>
      <w:pPr>
        <w:spacing w:after="0" w:line="183" w:lineRule="exact"/>
        <w:rPr>
          <w:rFonts w:ascii="Arial" w:cs="Arial" w:eastAsia="Arial" w:hAnsi="Arial"/>
          <w:sz w:val="18"/>
          <w:szCs w:val="18"/>
          <w:color w:val="auto"/>
        </w:rPr>
      </w:pPr>
    </w:p>
    <w:p>
      <w:pPr>
        <w:ind w:left="500" w:hanging="492"/>
        <w:spacing w:after="0" w:line="279" w:lineRule="auto"/>
        <w:tabs>
          <w:tab w:leader="none" w:pos="139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Board of Directors may pass resolution even without actually convening, and provided that all of the directors entitled to participate in the deliberation and to vote upon the matter presented for resolution, have consented to the resolution and have signed thereupon (or on separate copies thereof, including by means of facsimile). A resolution passed in such manner shall be valid for all intents and purposes as though it was passed at a meeting of the Board of Directors, which was convened and conducted lawfully.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w:t>
      </w:r>
    </w:p>
    <w:p>
      <w:pPr>
        <w:spacing w:after="0" w:line="229" w:lineRule="exact"/>
        <w:rPr>
          <w:sz w:val="20"/>
          <w:szCs w:val="20"/>
          <w:color w:val="auto"/>
        </w:rPr>
      </w:pPr>
    </w:p>
    <w:p>
      <w:pPr>
        <w:ind w:left="500" w:right="460" w:hanging="492"/>
        <w:spacing w:after="0" w:line="277" w:lineRule="auto"/>
        <w:tabs>
          <w:tab w:leader="none" w:pos="139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Board of Directors shall ensure that minutes shall be held of the proceedings and the meetings of the Board of Directors. The minutes shall be recorded in books prepared for such purpose and shall include, inter alia, the following details:</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The names of the participating directors and other parties present of every meeting of the Board of Directors.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The matters discussed at the meeting of the Board of Directors and the resolutions passed.</w:t>
      </w:r>
    </w:p>
    <w:p>
      <w:pPr>
        <w:spacing w:after="0" w:line="225"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Each minutes shall be signed by the chairman of the Board of Directors or by the chairman of the meeting, as the case may be. Minutes which are signed and approved as stated shall serve as prima facie evidence to the content thereof.</w:t>
      </w:r>
    </w:p>
    <w:p>
      <w:pPr>
        <w:spacing w:after="0" w:line="170" w:lineRule="exact"/>
        <w:rPr>
          <w:sz w:val="20"/>
          <w:szCs w:val="20"/>
          <w:color w:val="auto"/>
        </w:rPr>
      </w:pPr>
    </w:p>
    <w:p>
      <w:pPr>
        <w:ind w:left="500" w:hanging="492"/>
        <w:spacing w:after="0" w:line="277" w:lineRule="auto"/>
        <w:tabs>
          <w:tab w:leader="none" w:pos="139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provisions of Clause 113 above shall apply also to the meetings of the Board of Directors committees and the passage of resolutions of the Board of Directors without convening, as stated in Clause 112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CEO</w:t>
      </w:r>
    </w:p>
    <w:p>
      <w:pPr>
        <w:spacing w:after="0" w:line="229" w:lineRule="exact"/>
        <w:rPr>
          <w:sz w:val="20"/>
          <w:szCs w:val="20"/>
          <w:color w:val="auto"/>
        </w:rPr>
      </w:pPr>
    </w:p>
    <w:p>
      <w:pPr>
        <w:jc w:val="both"/>
        <w:ind w:left="500" w:hanging="492"/>
        <w:spacing w:after="0" w:line="342" w:lineRule="auto"/>
        <w:tabs>
          <w:tab w:leader="none" w:pos="139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Board of Directors shall appoint from time to time a CEO for the Company, and is entitled to appoint more than one CEO (each one of these shall hereinafter be called: </w:t>
      </w:r>
      <w:r>
        <w:rPr>
          <w:rFonts w:ascii="Arial" w:cs="Arial" w:eastAsia="Arial" w:hAnsi="Arial"/>
          <w:sz w:val="16"/>
          <w:szCs w:val="16"/>
          <w:b w:val="1"/>
          <w:bCs w:val="1"/>
          <w:color w:val="auto"/>
        </w:rPr>
        <w:t>CEO</w:t>
      </w:r>
      <w:r>
        <w:rPr>
          <w:rFonts w:ascii="Arial" w:cs="Arial" w:eastAsia="Arial" w:hAnsi="Arial"/>
          <w:sz w:val="16"/>
          <w:szCs w:val="16"/>
          <w:color w:val="auto"/>
        </w:rPr>
        <w:t xml:space="preserve"> ). The Board of Directors is also entitled to dismiss the CEO or to replace him at any time it deems proper.</w:t>
      </w:r>
    </w:p>
    <w:p>
      <w:pPr>
        <w:spacing w:after="0" w:line="123" w:lineRule="exact"/>
        <w:rPr>
          <w:rFonts w:ascii="Arial" w:cs="Arial" w:eastAsia="Arial" w:hAnsi="Arial"/>
          <w:sz w:val="16"/>
          <w:szCs w:val="16"/>
          <w:color w:val="auto"/>
        </w:rPr>
      </w:pPr>
    </w:p>
    <w:p>
      <w:pPr>
        <w:ind w:left="1400" w:hanging="1392"/>
        <w:spacing w:after="0"/>
        <w:tabs>
          <w:tab w:leader="none" w:pos="14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CEO is not required to be a shareholder in the Company nor must he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6" w:name="page217"/>
    <w:bookmarkEnd w:id="216"/>
    <w:p>
      <w:pPr>
        <w:ind w:left="500" w:right="40" w:hanging="492"/>
        <w:spacing w:after="0" w:line="277" w:lineRule="auto"/>
        <w:tabs>
          <w:tab w:leader="none" w:pos="13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CEO is responsible for the continuous management of the affairs of the Company, in the framework of the policy determined by the Board of Directors and subject to its directives.</w:t>
      </w:r>
    </w:p>
    <w:p>
      <w:pPr>
        <w:spacing w:after="0" w:line="170" w:lineRule="exact"/>
        <w:rPr>
          <w:rFonts w:ascii="Arial" w:cs="Arial" w:eastAsia="Arial" w:hAnsi="Arial"/>
          <w:sz w:val="18"/>
          <w:szCs w:val="18"/>
          <w:color w:val="auto"/>
        </w:rPr>
      </w:pPr>
    </w:p>
    <w:p>
      <w:pPr>
        <w:ind w:left="500" w:right="320" w:hanging="492"/>
        <w:spacing w:after="0" w:line="311" w:lineRule="auto"/>
        <w:tabs>
          <w:tab w:leader="none" w:pos="139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CEO shall have all of the authorities of management and execution not granted at law or in these Articles or by virtue thereof to some other organ of the Company with the exception of authorities as stated which shall be transferred from him to the Board of Directors in accordance with the provisions of Clause 91.1 above, if they shall be transferred. The CEO shall be subordinate to the Board of Directors.</w:t>
      </w:r>
    </w:p>
    <w:p>
      <w:pPr>
        <w:spacing w:after="0" w:line="148" w:lineRule="exact"/>
        <w:rPr>
          <w:rFonts w:ascii="Arial" w:cs="Arial" w:eastAsia="Arial" w:hAnsi="Arial"/>
          <w:sz w:val="16"/>
          <w:szCs w:val="16"/>
          <w:color w:val="auto"/>
        </w:rPr>
      </w:pPr>
    </w:p>
    <w:p>
      <w:pPr>
        <w:jc w:val="both"/>
        <w:ind w:left="500" w:right="140" w:hanging="492"/>
        <w:spacing w:after="0" w:line="296" w:lineRule="auto"/>
        <w:tabs>
          <w:tab w:leader="none" w:pos="13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Subject to the provisions of the Companies Law and these Articles, the Board of Directors may from time to time deliver and grant to the CEO authorities belonging to the Board of Directors under these Articles, as it shall deem fit, and it is entitled to grant any of these authorities for such period, such purpose and under such terms and limitations as the Board of Directors shall deem appropriate, and the Board of Directors is entitled to grant these authorities, both without relinquishing its authority in the matter or in their stead or subordinates to them, in whole or in part, and is entitled from time to time to cancel, suspend and change these authorities, in whole or in part.</w:t>
      </w:r>
    </w:p>
    <w:p>
      <w:pPr>
        <w:spacing w:after="0" w:line="161" w:lineRule="exact"/>
        <w:rPr>
          <w:rFonts w:ascii="Arial" w:cs="Arial" w:eastAsia="Arial" w:hAnsi="Arial"/>
          <w:sz w:val="16"/>
          <w:szCs w:val="16"/>
          <w:color w:val="auto"/>
        </w:rPr>
      </w:pPr>
    </w:p>
    <w:p>
      <w:pPr>
        <w:jc w:val="both"/>
        <w:ind w:left="500" w:right="280" w:hanging="492"/>
        <w:spacing w:after="0" w:line="263" w:lineRule="auto"/>
        <w:tabs>
          <w:tab w:leader="none" w:pos="13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Without detracting from that stated in Article 127 and 129 below, the CEO is entitled, with the approval of the Board of Directors, to delegate any of his authorities to other/s, subordinate to him. Approval of the Board of Directors as mentioned may be granted generally or for a specific matter.</w:t>
      </w:r>
    </w:p>
    <w:p>
      <w:pPr>
        <w:spacing w:after="0" w:line="183" w:lineRule="exact"/>
        <w:rPr>
          <w:rFonts w:ascii="Arial" w:cs="Arial" w:eastAsia="Arial" w:hAnsi="Arial"/>
          <w:sz w:val="18"/>
          <w:szCs w:val="18"/>
          <w:color w:val="auto"/>
        </w:rPr>
      </w:pPr>
    </w:p>
    <w:p>
      <w:pPr>
        <w:jc w:val="both"/>
        <w:ind w:left="500" w:right="20" w:hanging="492"/>
        <w:spacing w:after="0" w:line="263" w:lineRule="auto"/>
        <w:tabs>
          <w:tab w:leader="none" w:pos="13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Without detracting from the provisions of the Companies Law and applicable law, the CEO will submit to the Board of Directors reports on matters, at times and at a scope as determined by the Board of Directors, whether in a specific resolution or in the framework of the procedures of the Board of Directors.</w:t>
      </w:r>
    </w:p>
    <w:p>
      <w:pPr>
        <w:spacing w:after="0" w:line="183" w:lineRule="exact"/>
        <w:rPr>
          <w:rFonts w:ascii="Arial" w:cs="Arial" w:eastAsia="Arial" w:hAnsi="Arial"/>
          <w:sz w:val="18"/>
          <w:szCs w:val="18"/>
          <w:color w:val="auto"/>
        </w:rPr>
      </w:pPr>
    </w:p>
    <w:p>
      <w:pPr>
        <w:ind w:left="500" w:right="240" w:hanging="492"/>
        <w:spacing w:after="0" w:line="277" w:lineRule="auto"/>
        <w:tabs>
          <w:tab w:leader="none" w:pos="13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wage of the CEO may be paid as a salary, or commission or participation in the profit or the granting of securities or the rights to purchase these, or in any other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Validity of Actions and Approval of Transactions</w:t>
      </w:r>
    </w:p>
    <w:p>
      <w:pPr>
        <w:spacing w:after="0" w:line="229" w:lineRule="exact"/>
        <w:rPr>
          <w:sz w:val="20"/>
          <w:szCs w:val="20"/>
          <w:color w:val="auto"/>
        </w:rPr>
      </w:pPr>
    </w:p>
    <w:p>
      <w:pPr>
        <w:ind w:left="500" w:right="20" w:hanging="492"/>
        <w:spacing w:after="0" w:line="279" w:lineRule="auto"/>
        <w:tabs>
          <w:tab w:leader="none" w:pos="139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Subject to the provisions of applicable law, all of the actions taken by the Board of Directors or by a Board of Directors committee or by any person acting as director or member of a Board of Directors committee or by an officer, as the case may be - shall be valid even if it evolves thereafter that there was some defect in the appointment of the director, Board of Directors committee, director who is a member of the committee or officer, as the case may be, or that any of the officers mentioned was prohibited from serving in such position.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124.</w:t>
            </w:r>
          </w:p>
        </w:tc>
        <w:tc>
          <w:tcPr>
            <w:tcW w:w="10780" w:type="dxa"/>
            <w:vAlign w:val="bottom"/>
          </w:tcPr>
          <w:p>
            <w:pPr>
              <w:spacing w:after="0"/>
              <w:rPr>
                <w:sz w:val="20"/>
                <w:szCs w:val="20"/>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w w:val="97"/>
              </w:rPr>
              <w:t>124.1</w:t>
            </w:r>
          </w:p>
        </w:tc>
        <w:tc>
          <w:tcPr>
            <w:tcW w:w="10780" w:type="dxa"/>
            <w:vAlign w:val="bottom"/>
          </w:tcPr>
          <w:p>
            <w:pPr>
              <w:ind w:left="720"/>
              <w:spacing w:after="0"/>
              <w:rPr>
                <w:sz w:val="20"/>
                <w:szCs w:val="20"/>
                <w:color w:val="auto"/>
              </w:rPr>
            </w:pPr>
            <w:r>
              <w:rPr>
                <w:rFonts w:ascii="Arial" w:cs="Arial" w:eastAsia="Arial" w:hAnsi="Arial"/>
                <w:sz w:val="18"/>
                <w:szCs w:val="18"/>
                <w:color w:val="auto"/>
                <w:w w:val="91"/>
              </w:rPr>
              <w:t>Subject to the provisions of the Companies Law, the holding of shares in the Company and the service as an officer in the Company whilst</w:t>
            </w:r>
          </w:p>
        </w:tc>
      </w:tr>
      <w:tr>
        <w:trPr>
          <w:trHeight w:val="230"/>
        </w:trPr>
        <w:tc>
          <w:tcPr>
            <w:tcW w:w="460" w:type="dxa"/>
            <w:vAlign w:val="bottom"/>
          </w:tcPr>
          <w:p>
            <w:pPr>
              <w:spacing w:after="0"/>
              <w:rPr>
                <w:sz w:val="20"/>
                <w:szCs w:val="20"/>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rPr>
              <w:t>being a party at interest or an officer</w:t>
            </w:r>
          </w:p>
        </w:tc>
      </w:tr>
      <w:tr>
        <w:trPr>
          <w:trHeight w:val="1323"/>
        </w:trPr>
        <w:tc>
          <w:tcPr>
            <w:tcW w:w="460" w:type="dxa"/>
            <w:vAlign w:val="bottom"/>
          </w:tcPr>
          <w:p>
            <w:pPr>
              <w:spacing w:after="0"/>
              <w:rPr>
                <w:sz w:val="24"/>
                <w:szCs w:val="24"/>
                <w:color w:val="auto"/>
              </w:rPr>
            </w:pPr>
          </w:p>
        </w:tc>
        <w:tc>
          <w:tcPr>
            <w:tcW w:w="10780" w:type="dxa"/>
            <w:vAlign w:val="bottom"/>
          </w:tcPr>
          <w:p>
            <w:pPr>
              <w:spacing w:after="0"/>
              <w:rPr>
                <w:sz w:val="24"/>
                <w:szCs w:val="24"/>
                <w:color w:val="auto"/>
              </w:rPr>
            </w:pPr>
          </w:p>
        </w:tc>
      </w:tr>
      <w:tr>
        <w:trPr>
          <w:trHeight w:val="68"/>
        </w:trPr>
        <w:tc>
          <w:tcPr>
            <w:tcW w:w="460" w:type="dxa"/>
            <w:vAlign w:val="bottom"/>
            <w:shd w:val="clear" w:color="auto" w:fill="000000"/>
          </w:tcPr>
          <w:p>
            <w:pPr>
              <w:spacing w:after="0"/>
              <w:rPr>
                <w:sz w:val="5"/>
                <w:szCs w:val="5"/>
                <w:color w:val="auto"/>
              </w:rPr>
            </w:pPr>
          </w:p>
        </w:tc>
        <w:tc>
          <w:tcPr>
            <w:tcW w:w="107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w w:val="91"/>
              </w:rPr>
              <w:t>in any other corporation, including a corporation in which the Company is a party at interest or a shareholder in the Company, shall not preclude an</w:t>
            </w:r>
          </w:p>
        </w:tc>
      </w:tr>
      <w:tr>
        <w:trPr>
          <w:trHeight w:val="216"/>
        </w:trPr>
        <w:tc>
          <w:tcPr>
            <w:tcW w:w="460" w:type="dxa"/>
            <w:vAlign w:val="bottom"/>
          </w:tcPr>
          <w:p>
            <w:pPr>
              <w:spacing w:after="0"/>
              <w:rPr>
                <w:sz w:val="18"/>
                <w:szCs w:val="18"/>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w w:val="96"/>
              </w:rPr>
              <w:t>officer from being an officer in the Company. Additionally, an officer shall not be precluded from being an officer in the Company due to his</w:t>
            </w:r>
          </w:p>
        </w:tc>
      </w:tr>
      <w:tr>
        <w:trPr>
          <w:trHeight w:val="216"/>
        </w:trPr>
        <w:tc>
          <w:tcPr>
            <w:tcW w:w="460" w:type="dxa"/>
            <w:vAlign w:val="bottom"/>
          </w:tcPr>
          <w:p>
            <w:pPr>
              <w:spacing w:after="0"/>
              <w:rPr>
                <w:sz w:val="18"/>
                <w:szCs w:val="18"/>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w w:val="95"/>
              </w:rPr>
              <w:t>engagement or subsequent to the engagement of any corporation as stated above, in a contract with the Company in any matter or manner</w:t>
            </w:r>
          </w:p>
        </w:tc>
      </w:tr>
      <w:tr>
        <w:trPr>
          <w:trHeight w:val="230"/>
        </w:trPr>
        <w:tc>
          <w:tcPr>
            <w:tcW w:w="460" w:type="dxa"/>
            <w:vAlign w:val="bottom"/>
          </w:tcPr>
          <w:p>
            <w:pPr>
              <w:spacing w:after="0"/>
              <w:rPr>
                <w:sz w:val="20"/>
                <w:szCs w:val="20"/>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rPr>
              <w:t>whatsoever.</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124.2</w:t>
            </w:r>
          </w:p>
        </w:tc>
        <w:tc>
          <w:tcPr>
            <w:tcW w:w="10700" w:type="dxa"/>
            <w:vAlign w:val="bottom"/>
          </w:tcPr>
          <w:p>
            <w:pPr>
              <w:ind w:left="720"/>
              <w:spacing w:after="0"/>
              <w:rPr>
                <w:sz w:val="20"/>
                <w:szCs w:val="20"/>
                <w:color w:val="auto"/>
              </w:rPr>
            </w:pPr>
            <w:r>
              <w:rPr>
                <w:rFonts w:ascii="Arial" w:cs="Arial" w:eastAsia="Arial" w:hAnsi="Arial"/>
                <w:sz w:val="18"/>
                <w:szCs w:val="18"/>
                <w:color w:val="auto"/>
                <w:w w:val="93"/>
              </w:rPr>
              <w:t>Subject to the provisions of the Companies Law, the service of a person as an officer in the Company shall not preclude him and/or his</w:t>
            </w:r>
          </w:p>
        </w:tc>
      </w:tr>
      <w:tr>
        <w:trPr>
          <w:trHeight w:val="216"/>
        </w:trPr>
        <w:tc>
          <w:tcPr>
            <w:tcW w:w="460" w:type="dxa"/>
            <w:vAlign w:val="bottom"/>
          </w:tcPr>
          <w:p>
            <w:pPr>
              <w:spacing w:after="0"/>
              <w:rPr>
                <w:sz w:val="18"/>
                <w:szCs w:val="18"/>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w w:val="90"/>
              </w:rPr>
              <w:t>relations and/or some other corporation in which he is a party at interest, from engaging with the Company in transactions in which the officer has a</w:t>
            </w:r>
          </w:p>
        </w:tc>
      </w:tr>
      <w:tr>
        <w:trPr>
          <w:trHeight w:val="230"/>
        </w:trPr>
        <w:tc>
          <w:tcPr>
            <w:tcW w:w="460" w:type="dxa"/>
            <w:vAlign w:val="bottom"/>
          </w:tcPr>
          <w:p>
            <w:pPr>
              <w:spacing w:after="0"/>
              <w:rPr>
                <w:sz w:val="20"/>
                <w:szCs w:val="20"/>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rPr>
              <w:t>personal interest in any manner whatsoever.</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124.3</w:t>
            </w:r>
          </w:p>
        </w:tc>
        <w:tc>
          <w:tcPr>
            <w:tcW w:w="10700" w:type="dxa"/>
            <w:vAlign w:val="bottom"/>
          </w:tcPr>
          <w:p>
            <w:pPr>
              <w:ind w:left="720"/>
              <w:spacing w:after="0"/>
              <w:rPr>
                <w:sz w:val="20"/>
                <w:szCs w:val="20"/>
                <w:color w:val="auto"/>
              </w:rPr>
            </w:pPr>
            <w:r>
              <w:rPr>
                <w:rFonts w:ascii="Arial" w:cs="Arial" w:eastAsia="Arial" w:hAnsi="Arial"/>
                <w:sz w:val="18"/>
                <w:szCs w:val="18"/>
                <w:color w:val="auto"/>
                <w:w w:val="96"/>
              </w:rPr>
              <w:t>Subject to the provisions of the Companies Law, an officer shall be entitled to participate and to vote in deliberations with regard to</w:t>
            </w:r>
          </w:p>
        </w:tc>
      </w:tr>
      <w:tr>
        <w:trPr>
          <w:trHeight w:val="230"/>
        </w:trPr>
        <w:tc>
          <w:tcPr>
            <w:tcW w:w="460" w:type="dxa"/>
            <w:vAlign w:val="bottom"/>
          </w:tcPr>
          <w:p>
            <w:pPr>
              <w:spacing w:after="0"/>
              <w:rPr>
                <w:sz w:val="20"/>
                <w:szCs w:val="20"/>
                <w:color w:val="auto"/>
              </w:rPr>
            </w:pPr>
          </w:p>
        </w:tc>
        <w:tc>
          <w:tcPr>
            <w:tcW w:w="10700" w:type="dxa"/>
            <w:vAlign w:val="bottom"/>
          </w:tcPr>
          <w:p>
            <w:pPr>
              <w:ind w:left="40"/>
              <w:spacing w:after="0"/>
              <w:rPr>
                <w:sz w:val="20"/>
                <w:szCs w:val="20"/>
                <w:color w:val="auto"/>
              </w:rPr>
            </w:pPr>
            <w:r>
              <w:rPr>
                <w:rFonts w:ascii="Arial" w:cs="Arial" w:eastAsia="Arial" w:hAnsi="Arial"/>
                <w:sz w:val="18"/>
                <w:szCs w:val="18"/>
                <w:color w:val="auto"/>
              </w:rPr>
              <w:t>approval of transactions or actions in which he has a personal interest.</w:t>
            </w:r>
          </w:p>
        </w:tc>
      </w:tr>
    </w:tbl>
    <w:p>
      <w:pPr>
        <w:spacing w:after="0" w:line="202" w:lineRule="exact"/>
        <w:rPr>
          <w:sz w:val="20"/>
          <w:szCs w:val="20"/>
          <w:color w:val="auto"/>
        </w:rPr>
      </w:pPr>
    </w:p>
    <w:p>
      <w:pPr>
        <w:ind w:left="500" w:right="520" w:hanging="492"/>
        <w:spacing w:after="0" w:line="277" w:lineRule="auto"/>
        <w:tabs>
          <w:tab w:leader="none" w:pos="139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Subject to the provisions of the Companies Law, a transaction of the Company with some other person in whom the officer in the Company has a personal interest, and which are not extraordinary transactions, will be approved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125.1</w:t>
            </w:r>
          </w:p>
        </w:tc>
        <w:tc>
          <w:tcPr>
            <w:tcW w:w="10720" w:type="dxa"/>
            <w:vAlign w:val="bottom"/>
          </w:tcPr>
          <w:p>
            <w:pPr>
              <w:ind w:left="720"/>
              <w:spacing w:after="0"/>
              <w:rPr>
                <w:sz w:val="20"/>
                <w:szCs w:val="20"/>
                <w:color w:val="auto"/>
              </w:rPr>
            </w:pPr>
            <w:r>
              <w:rPr>
                <w:rFonts w:ascii="Arial" w:cs="Arial" w:eastAsia="Arial" w:hAnsi="Arial"/>
                <w:sz w:val="18"/>
                <w:szCs w:val="18"/>
                <w:color w:val="auto"/>
                <w:w w:val="90"/>
              </w:rPr>
              <w:t>Engagement as stated above in a transaction which is not extraordinary shall be approved by the Board of Directors or by some other party</w:t>
            </w:r>
          </w:p>
        </w:tc>
      </w:tr>
      <w:tr>
        <w:trPr>
          <w:trHeight w:val="216"/>
        </w:trPr>
        <w:tc>
          <w:tcPr>
            <w:tcW w:w="460" w:type="dxa"/>
            <w:vAlign w:val="bottom"/>
          </w:tcPr>
          <w:p>
            <w:pPr>
              <w:spacing w:after="0"/>
              <w:rPr>
                <w:sz w:val="18"/>
                <w:szCs w:val="18"/>
                <w:color w:val="auto"/>
              </w:rPr>
            </w:pPr>
          </w:p>
        </w:tc>
        <w:tc>
          <w:tcPr>
            <w:tcW w:w="10720" w:type="dxa"/>
            <w:vAlign w:val="bottom"/>
          </w:tcPr>
          <w:p>
            <w:pPr>
              <w:ind w:left="40"/>
              <w:spacing w:after="0"/>
              <w:rPr>
                <w:sz w:val="20"/>
                <w:szCs w:val="20"/>
                <w:color w:val="auto"/>
              </w:rPr>
            </w:pPr>
            <w:r>
              <w:rPr>
                <w:rFonts w:ascii="Arial" w:cs="Arial" w:eastAsia="Arial" w:hAnsi="Arial"/>
                <w:sz w:val="18"/>
                <w:szCs w:val="18"/>
                <w:color w:val="auto"/>
                <w:w w:val="92"/>
              </w:rPr>
              <w:t>(including the audit committee of the Company) authorized therefor by the Board of Directors, whether in a specific resolution or in the framework</w:t>
            </w:r>
          </w:p>
        </w:tc>
      </w:tr>
      <w:tr>
        <w:trPr>
          <w:trHeight w:val="230"/>
        </w:trPr>
        <w:tc>
          <w:tcPr>
            <w:tcW w:w="460" w:type="dxa"/>
            <w:vAlign w:val="bottom"/>
          </w:tcPr>
          <w:p>
            <w:pPr>
              <w:spacing w:after="0"/>
              <w:rPr>
                <w:sz w:val="20"/>
                <w:szCs w:val="20"/>
                <w:color w:val="auto"/>
              </w:rPr>
            </w:pPr>
          </w:p>
        </w:tc>
        <w:tc>
          <w:tcPr>
            <w:tcW w:w="10720" w:type="dxa"/>
            <w:vAlign w:val="bottom"/>
          </w:tcPr>
          <w:p>
            <w:pPr>
              <w:ind w:left="40"/>
              <w:spacing w:after="0"/>
              <w:rPr>
                <w:sz w:val="20"/>
                <w:szCs w:val="20"/>
                <w:color w:val="auto"/>
              </w:rPr>
            </w:pPr>
            <w:r>
              <w:rPr>
                <w:rFonts w:ascii="Arial" w:cs="Arial" w:eastAsia="Arial" w:hAnsi="Arial"/>
                <w:sz w:val="18"/>
                <w:szCs w:val="18"/>
                <w:color w:val="auto"/>
                <w:w w:val="89"/>
              </w:rPr>
              <w:t>of the procedures of the Board of Directors, whether by general agreement or by agreement to a certain type of transactions or a specific transaction.</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125.2</w:t>
            </w:r>
          </w:p>
        </w:tc>
        <w:tc>
          <w:tcPr>
            <w:tcW w:w="10720" w:type="dxa"/>
            <w:vAlign w:val="bottom"/>
          </w:tcPr>
          <w:p>
            <w:pPr>
              <w:ind w:left="700"/>
              <w:spacing w:after="0"/>
              <w:rPr>
                <w:sz w:val="20"/>
                <w:szCs w:val="20"/>
                <w:color w:val="auto"/>
              </w:rPr>
            </w:pPr>
            <w:r>
              <w:rPr>
                <w:rFonts w:ascii="Arial" w:cs="Arial" w:eastAsia="Arial" w:hAnsi="Arial"/>
                <w:sz w:val="18"/>
                <w:szCs w:val="18"/>
                <w:color w:val="auto"/>
                <w:w w:val="91"/>
              </w:rPr>
              <w:t>Approval of transactions which are not extraordinary as stated above may be made by general approval for a certain type of transaction or</w:t>
            </w:r>
          </w:p>
        </w:tc>
      </w:tr>
      <w:tr>
        <w:trPr>
          <w:trHeight w:val="230"/>
        </w:trPr>
        <w:tc>
          <w:tcPr>
            <w:tcW w:w="460" w:type="dxa"/>
            <w:vAlign w:val="bottom"/>
          </w:tcPr>
          <w:p>
            <w:pPr>
              <w:spacing w:after="0"/>
              <w:rPr>
                <w:sz w:val="20"/>
                <w:szCs w:val="20"/>
                <w:color w:val="auto"/>
              </w:rPr>
            </w:pPr>
          </w:p>
        </w:tc>
        <w:tc>
          <w:tcPr>
            <w:tcW w:w="10720" w:type="dxa"/>
            <w:vAlign w:val="bottom"/>
          </w:tcPr>
          <w:p>
            <w:pPr>
              <w:ind w:left="40"/>
              <w:spacing w:after="0"/>
              <w:rPr>
                <w:sz w:val="20"/>
                <w:szCs w:val="20"/>
                <w:color w:val="auto"/>
              </w:rPr>
            </w:pPr>
            <w:r>
              <w:rPr>
                <w:rFonts w:ascii="Arial" w:cs="Arial" w:eastAsia="Arial" w:hAnsi="Arial"/>
                <w:sz w:val="18"/>
                <w:szCs w:val="18"/>
                <w:color w:val="auto"/>
              </w:rPr>
              <w:t>approval for a specific transaction.</w:t>
            </w:r>
          </w:p>
        </w:tc>
      </w:tr>
    </w:tbl>
    <w:p>
      <w:pPr>
        <w:spacing w:after="0" w:line="202" w:lineRule="exact"/>
        <w:rPr>
          <w:sz w:val="20"/>
          <w:szCs w:val="20"/>
          <w:color w:val="auto"/>
        </w:rPr>
      </w:pPr>
    </w:p>
    <w:p>
      <w:pPr>
        <w:ind w:left="500" w:right="20" w:hanging="492"/>
        <w:spacing w:after="0" w:line="279" w:lineRule="auto"/>
        <w:tabs>
          <w:tab w:leader="none" w:pos="139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Subject to the provisions of the Companies Law, general notice issued to the Board of Directors by an officer or a controlling interest in the Company with regard to his personal interest in a certain body, with details of his personal interest, shall constitute disclosure by the officer or the controlling interest, to the Company, with regard to his personal interest as stated for purposes of any engagement with the aforementioned body, or an engagement in which the aforementioned body has a personal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on behalf of the Company</w:t>
      </w:r>
    </w:p>
    <w:p>
      <w:pPr>
        <w:spacing w:after="0" w:line="229" w:lineRule="exact"/>
        <w:rPr>
          <w:sz w:val="20"/>
          <w:szCs w:val="20"/>
          <w:color w:val="auto"/>
        </w:rPr>
      </w:pPr>
    </w:p>
    <w:p>
      <w:pPr>
        <w:ind w:left="500" w:right="20" w:hanging="492"/>
        <w:spacing w:after="0" w:line="277" w:lineRule="auto"/>
        <w:tabs>
          <w:tab w:leader="none" w:pos="139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these Articles, the Board of Directors may authorize any party to act and to sign on behalf of the Company, whether himself or some other person, generally or on certain matters.</w:t>
      </w:r>
    </w:p>
    <w:p>
      <w:pPr>
        <w:spacing w:after="0" w:line="170" w:lineRule="exact"/>
        <w:rPr>
          <w:rFonts w:ascii="Arial" w:cs="Arial" w:eastAsia="Arial" w:hAnsi="Arial"/>
          <w:sz w:val="18"/>
          <w:szCs w:val="18"/>
          <w:color w:val="auto"/>
        </w:rPr>
      </w:pPr>
    </w:p>
    <w:p>
      <w:pPr>
        <w:ind w:left="500" w:hanging="492"/>
        <w:spacing w:after="0" w:line="308" w:lineRule="auto"/>
        <w:tabs>
          <w:tab w:leader="none" w:pos="139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Company shall have a stamp bearing the name of the Company. A signature upon a document shall not bind the Company save if it was signed by those authorized to sign on behalf of the Company together with the stamp of the Company or its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431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auto"/>
        </w:rPr>
        <w:t>Appointment of Legal Representatives</w:t>
      </w:r>
    </w:p>
    <w:p>
      <w:pPr>
        <w:spacing w:after="0" w:line="229" w:lineRule="exact"/>
        <w:rPr>
          <w:sz w:val="20"/>
          <w:szCs w:val="20"/>
          <w:color w:val="auto"/>
        </w:rPr>
      </w:pPr>
    </w:p>
    <w:p>
      <w:pPr>
        <w:ind w:left="500" w:right="20" w:hanging="492"/>
        <w:spacing w:after="0" w:line="263" w:lineRule="auto"/>
        <w:tabs>
          <w:tab w:leader="none" w:pos="139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of Directors is entitled at any time to grant a power of attorney to any person to legally represent the Company for such purposes and with such authorities and discretion and for such period of time and subject to such terms and all as the Board of Directors shall deem fit.</w:t>
      </w:r>
    </w:p>
    <w:p>
      <w:pPr>
        <w:spacing w:after="0" w:line="184"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The Board of Directors will be entitled to grant to such person, inter alia, authorities to transfer to some other, fully or partially, the authorities and powers and discretion granted to him.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Exemption, Indemnification and Insurance</w:t>
      </w:r>
    </w:p>
    <w:p>
      <w:pPr>
        <w:spacing w:after="0" w:line="229" w:lineRule="exact"/>
        <w:rPr>
          <w:sz w:val="20"/>
          <w:szCs w:val="20"/>
          <w:color w:val="auto"/>
        </w:rPr>
      </w:pPr>
    </w:p>
    <w:p>
      <w:pPr>
        <w:jc w:val="both"/>
        <w:ind w:left="500" w:right="80" w:hanging="492"/>
        <w:spacing w:after="0" w:line="263" w:lineRule="auto"/>
        <w:tabs>
          <w:tab w:leader="none" w:pos="139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is entitled to exempt an officer from liability, in whole or in part, due to damage for breach of the duty of caution towards it. However, a Company may not exempt a director in advance from his liability towards it due to breach of the duty of caution upon distribution.</w:t>
      </w:r>
    </w:p>
    <w:p>
      <w:pPr>
        <w:spacing w:after="0" w:line="183" w:lineRule="exact"/>
        <w:rPr>
          <w:rFonts w:ascii="Arial" w:cs="Arial" w:eastAsia="Arial" w:hAnsi="Arial"/>
          <w:sz w:val="18"/>
          <w:szCs w:val="18"/>
          <w:color w:val="auto"/>
        </w:rPr>
      </w:pPr>
    </w:p>
    <w:p>
      <w:pPr>
        <w:ind w:left="500" w:right="60" w:hanging="492"/>
        <w:spacing w:after="0" w:line="308" w:lineRule="auto"/>
        <w:tabs>
          <w:tab w:leader="none" w:pos="139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Subject to the provisions of the Companies Law and the Securities Law, the Company may engage in a contract to insure the liability of its officer, for liability imposed upon him due to an act carried out by virtue of his position as an officer, in any one of the following:</w:t>
      </w:r>
    </w:p>
    <w:p>
      <w:pPr>
        <w:spacing w:after="0" w:line="14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Breach of the duty of caution towards the Company or towards some other person.</w:t>
      </w:r>
    </w:p>
    <w:p>
      <w:pPr>
        <w:spacing w:after="0" w:line="225" w:lineRule="exact"/>
        <w:rPr>
          <w:sz w:val="20"/>
          <w:szCs w:val="20"/>
          <w:color w:val="auto"/>
        </w:rPr>
      </w:pPr>
    </w:p>
    <w:p>
      <w:pPr>
        <w:ind w:left="500" w:right="80" w:hanging="494"/>
        <w:spacing w:after="0" w:line="277" w:lineRule="auto"/>
        <w:tabs>
          <w:tab w:leader="none" w:pos="480" w:val="left"/>
        </w:tabs>
        <w:rPr>
          <w:sz w:val="20"/>
          <w:szCs w:val="20"/>
          <w:color w:val="auto"/>
        </w:rPr>
      </w:pPr>
      <w:r>
        <w:rPr>
          <w:rFonts w:ascii="Arial" w:cs="Arial" w:eastAsia="Arial" w:hAnsi="Arial"/>
          <w:sz w:val="18"/>
          <w:szCs w:val="18"/>
          <w:color w:val="auto"/>
        </w:rPr>
        <w:t>131.2.</w:t>
        <w:tab/>
        <w:t>Breach of the fiduciary duty towards the Company and provided that the officer acted in good faith and had reasonable cause to assume that the actions shall not harm the welfare of the Company.</w:t>
      </w:r>
    </w:p>
    <w:p>
      <w:pPr>
        <w:spacing w:after="0" w:line="17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8"/>
          <w:szCs w:val="18"/>
          <w:color w:val="auto"/>
        </w:rPr>
        <w:t>131.3.</w:t>
        <w:tab/>
        <w:t>Monetary liabilities imposed upon him in favor of some other person including payments to the victim of the breach as stated in Article 52nd (a)(1)(a) of this security’s law.</w:t>
      </w:r>
    </w:p>
    <w:p>
      <w:pPr>
        <w:spacing w:after="0" w:line="170" w:lineRule="exact"/>
        <w:rPr>
          <w:sz w:val="20"/>
          <w:szCs w:val="20"/>
          <w:color w:val="auto"/>
        </w:rPr>
      </w:pPr>
    </w:p>
    <w:p>
      <w:pPr>
        <w:ind w:left="500" w:right="100" w:hanging="494"/>
        <w:spacing w:after="0" w:line="263" w:lineRule="auto"/>
        <w:tabs>
          <w:tab w:leader="none" w:pos="480" w:val="left"/>
        </w:tabs>
        <w:rPr>
          <w:sz w:val="20"/>
          <w:szCs w:val="20"/>
          <w:color w:val="auto"/>
        </w:rPr>
      </w:pPr>
      <w:r>
        <w:rPr>
          <w:rFonts w:ascii="Arial" w:cs="Arial" w:eastAsia="Arial" w:hAnsi="Arial"/>
          <w:sz w:val="18"/>
          <w:szCs w:val="18"/>
          <w:color w:val="auto"/>
        </w:rPr>
        <w:t>131.4.</w:t>
        <w:tab/>
        <w:t>Any other event for which it is permitted and/or shall be permitted to insure the liability of an officer including for expenses made in connection with proceedings conducted against him (as defined in Article 56h (a)(1) of the Securities Law) including reasonable litigation expenses and including lawyers professional fees.</w:t>
      </w:r>
    </w:p>
    <w:p>
      <w:pPr>
        <w:spacing w:after="0" w:line="184" w:lineRule="exact"/>
        <w:rPr>
          <w:sz w:val="20"/>
          <w:szCs w:val="20"/>
          <w:color w:val="auto"/>
        </w:rPr>
      </w:pPr>
    </w:p>
    <w:p>
      <w:pPr>
        <w:ind w:left="1400" w:hanging="1392"/>
        <w:spacing w:after="0"/>
        <w:tabs>
          <w:tab w:leader="none" w:pos="14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 Securities Law -</w:t>
      </w:r>
    </w:p>
    <w:p>
      <w:pPr>
        <w:spacing w:after="0" w:line="225" w:lineRule="exact"/>
        <w:rPr>
          <w:sz w:val="20"/>
          <w:szCs w:val="20"/>
          <w:color w:val="auto"/>
        </w:rPr>
      </w:pPr>
    </w:p>
    <w:p>
      <w:pPr>
        <w:ind w:left="500" w:right="520" w:hanging="494"/>
        <w:spacing w:after="0" w:line="277" w:lineRule="auto"/>
        <w:tabs>
          <w:tab w:leader="none" w:pos="480" w:val="left"/>
        </w:tabs>
        <w:rPr>
          <w:sz w:val="20"/>
          <w:szCs w:val="20"/>
          <w:color w:val="auto"/>
        </w:rPr>
      </w:pPr>
      <w:r>
        <w:rPr>
          <w:rFonts w:ascii="Arial" w:cs="Arial" w:eastAsia="Arial" w:hAnsi="Arial"/>
          <w:sz w:val="18"/>
          <w:szCs w:val="18"/>
          <w:color w:val="auto"/>
        </w:rPr>
        <w:t>132.1.</w:t>
        <w:tab/>
        <w:t xml:space="preserve">The Company is entitled to provide an undertaking in advance to indemnify its officers for liability or expense as stated in Clause 133 below, in any of the following (hereinafter: “ </w:t>
      </w:r>
      <w:r>
        <w:rPr>
          <w:rFonts w:ascii="Arial" w:cs="Arial" w:eastAsia="Arial" w:hAnsi="Arial"/>
          <w:sz w:val="18"/>
          <w:szCs w:val="18"/>
          <w:b w:val="1"/>
          <w:bCs w:val="1"/>
          <w:color w:val="auto"/>
        </w:rPr>
        <w:t>undertaking for indemnification</w:t>
      </w:r>
      <w:r>
        <w:rPr>
          <w:rFonts w:ascii="Arial" w:cs="Arial" w:eastAsia="Arial" w:hAnsi="Arial"/>
          <w:sz w:val="18"/>
          <w:szCs w:val="18"/>
          <w:color w:val="auto"/>
        </w:rPr>
        <w:t xml:space="preserve"> ”):</w:t>
      </w:r>
    </w:p>
    <w:p>
      <w:pPr>
        <w:spacing w:after="0" w:line="170"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(a) As specified in Clause 133.1 below and provided that the undertaking for indemnification will be limited to events which in the opinion of the Board of Directors are anticipated in light of the activity of the Company in practice at the time of the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43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ind w:left="500" w:right="100"/>
        <w:spacing w:after="0" w:line="259" w:lineRule="auto"/>
        <w:rPr>
          <w:sz w:val="20"/>
          <w:szCs w:val="20"/>
          <w:color w:val="auto"/>
        </w:rPr>
      </w:pPr>
      <w:r>
        <w:rPr>
          <w:rFonts w:ascii="Arial" w:cs="Arial" w:eastAsia="Arial" w:hAnsi="Arial"/>
          <w:sz w:val="18"/>
          <w:szCs w:val="18"/>
          <w:color w:val="auto"/>
        </w:rPr>
        <w:t>of the undertaking for indemnification and to an amount or a criteria which the Board of Directors has determined are reasonable in the circumstances and that in the undertaking for indemnification, there shall be indicated the events which in the opinion of the Board of Directors are anticipated in light of the activity of the Company in practice at the time of the issue of the undertaking and the amount or criteria which the Board of Directors has determined are reasonable in the circumstances.</w:t>
      </w:r>
    </w:p>
    <w:p>
      <w:pPr>
        <w:spacing w:after="0" w:line="187" w:lineRule="exact"/>
        <w:rPr>
          <w:sz w:val="20"/>
          <w:szCs w:val="20"/>
          <w:color w:val="auto"/>
        </w:rPr>
      </w:pPr>
    </w:p>
    <w:p>
      <w:pPr>
        <w:ind w:left="500"/>
        <w:spacing w:after="0"/>
        <w:tabs>
          <w:tab w:leader="none" w:pos="21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As specified in Clause 133.2 or 133.3 below.</w:t>
      </w:r>
    </w:p>
    <w:p>
      <w:pPr>
        <w:spacing w:after="0" w:line="225" w:lineRule="exact"/>
        <w:rPr>
          <w:sz w:val="20"/>
          <w:szCs w:val="20"/>
          <w:color w:val="auto"/>
        </w:rPr>
      </w:pPr>
    </w:p>
    <w:p>
      <w:pPr>
        <w:ind w:left="500" w:right="300" w:hanging="494"/>
        <w:spacing w:after="0" w:line="308" w:lineRule="auto"/>
        <w:tabs>
          <w:tab w:leader="none" w:pos="48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7"/>
          <w:szCs w:val="17"/>
          <w:color w:val="auto"/>
        </w:rPr>
        <w:t>Without detracting from that stated in Clause 132.1 above, the Company is entitled to indemnify an officer therein retroactively, due to a liability or an expense as stated in Clause 133 below which was imposed upon him due to an action taken as an officer in the Company.</w:t>
      </w:r>
    </w:p>
    <w:p>
      <w:pPr>
        <w:spacing w:after="0" w:line="146" w:lineRule="exact"/>
        <w:rPr>
          <w:sz w:val="20"/>
          <w:szCs w:val="20"/>
          <w:color w:val="auto"/>
        </w:rPr>
      </w:pPr>
    </w:p>
    <w:p>
      <w:pPr>
        <w:ind w:left="500" w:right="60" w:hanging="492"/>
        <w:spacing w:after="0" w:line="263" w:lineRule="auto"/>
        <w:tabs>
          <w:tab w:leader="none" w:pos="138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undertaking for indemnification or indemnification as stated in Clause 132 above, may be granted due to liability or expense as specified in sub Clauses 133.1 to 133.4 below, which were imposed upon the officer or which he expended due to an action taken by virtue of being an officer in the Company, as follows:</w:t>
      </w:r>
    </w:p>
    <w:p>
      <w:pPr>
        <w:spacing w:after="0" w:line="184" w:lineRule="exact"/>
        <w:rPr>
          <w:sz w:val="20"/>
          <w:szCs w:val="20"/>
          <w:color w:val="auto"/>
        </w:rPr>
      </w:pPr>
    </w:p>
    <w:p>
      <w:pPr>
        <w:jc w:val="right"/>
        <w:ind w:right="520"/>
        <w:spacing w:after="0" w:line="308" w:lineRule="auto"/>
        <w:rPr>
          <w:sz w:val="20"/>
          <w:szCs w:val="20"/>
          <w:color w:val="auto"/>
        </w:rPr>
      </w:pPr>
      <w:r>
        <w:rPr>
          <w:rFonts w:ascii="Arial" w:cs="Arial" w:eastAsia="Arial" w:hAnsi="Arial"/>
          <w:sz w:val="17"/>
          <w:szCs w:val="17"/>
          <w:color w:val="auto"/>
        </w:rPr>
        <w:t>133.1.       A monetary liability imposed upon him in favor of some other party by a judgment, including a judgment issued in a settlement or an arbitrator’s judgment approved by a court, for payment to the injured party of a breach as stated in article 52ns (a)(1)(a) of the Security’s law.</w:t>
      </w:r>
    </w:p>
    <w:p>
      <w:pPr>
        <w:spacing w:after="0" w:line="146" w:lineRule="exact"/>
        <w:rPr>
          <w:sz w:val="20"/>
          <w:szCs w:val="20"/>
          <w:color w:val="auto"/>
        </w:rPr>
      </w:pPr>
    </w:p>
    <w:p>
      <w:pPr>
        <w:ind w:left="500" w:right="60" w:hanging="494"/>
        <w:spacing w:after="0" w:line="257" w:lineRule="auto"/>
        <w:tabs>
          <w:tab w:leader="none" w:pos="480" w:val="left"/>
        </w:tabs>
        <w:rPr>
          <w:sz w:val="20"/>
          <w:szCs w:val="20"/>
          <w:color w:val="auto"/>
        </w:rPr>
      </w:pPr>
      <w:r>
        <w:rPr>
          <w:rFonts w:ascii="Arial" w:cs="Arial" w:eastAsia="Arial" w:hAnsi="Arial"/>
          <w:sz w:val="18"/>
          <w:szCs w:val="18"/>
          <w:color w:val="auto"/>
        </w:rPr>
        <w:t>133.2.</w:t>
        <w:tab/>
        <w:t xml:space="preserve">Reasonable litigation expenses including attorney’s professional fees which the officer expended due to investigation or proceedings conducted against him by an authority entitled to conduct an investigation or proceedings and which ended without submission of an indictment against him and without monetary liabilities imposed upon him as an alternative to a criminal proceeding or which ended without submission of an indictment against him or the imposition of monetary liability as an alternative to criminal proceedings for a crime which does not require the proof of </w:t>
      </w:r>
      <w:r>
        <w:rPr>
          <w:rFonts w:ascii="Arial" w:cs="Arial" w:eastAsia="Arial" w:hAnsi="Arial"/>
          <w:sz w:val="18"/>
          <w:szCs w:val="18"/>
          <w:i w:val="1"/>
          <w:iCs w:val="1"/>
          <w:color w:val="auto"/>
        </w:rPr>
        <w:t>mens rea</w:t>
      </w:r>
      <w:r>
        <w:rPr>
          <w:rFonts w:ascii="Arial" w:cs="Arial" w:eastAsia="Arial" w:hAnsi="Arial"/>
          <w:sz w:val="18"/>
          <w:szCs w:val="18"/>
          <w:color w:val="auto"/>
        </w:rPr>
        <w:t xml:space="preserve"> ; in this paragraph -</w:t>
      </w:r>
    </w:p>
    <w:p>
      <w:pPr>
        <w:spacing w:after="0" w:line="188" w:lineRule="exact"/>
        <w:rPr>
          <w:sz w:val="20"/>
          <w:szCs w:val="20"/>
          <w:color w:val="auto"/>
        </w:rPr>
      </w:pPr>
    </w:p>
    <w:p>
      <w:pPr>
        <w:ind w:left="500"/>
        <w:spacing w:after="0" w:line="263" w:lineRule="auto"/>
        <w:rPr>
          <w:sz w:val="20"/>
          <w:szCs w:val="20"/>
          <w:color w:val="auto"/>
        </w:rPr>
      </w:pPr>
      <w:r>
        <w:rPr>
          <w:rFonts w:ascii="Arial" w:cs="Arial" w:eastAsia="Arial" w:hAnsi="Arial"/>
          <w:sz w:val="18"/>
          <w:szCs w:val="18"/>
          <w:color w:val="auto"/>
        </w:rPr>
        <w:t>Termination of proceedings without submission of an indictment in the matter in which a criminal investigation was commenced - means the closing of the case as per Article 62 of the Criminal Procedural Law (combined version) - 1982 (in this sub-clause - the Criminal Procedural Law) or a stay of proceedings by the Attorney General under Article 231 of the Criminal Procedural Regulations.</w:t>
      </w:r>
    </w:p>
    <w:p>
      <w:pPr>
        <w:spacing w:after="0" w:line="184" w:lineRule="exact"/>
        <w:rPr>
          <w:sz w:val="20"/>
          <w:szCs w:val="20"/>
          <w:color w:val="auto"/>
        </w:rPr>
      </w:pPr>
    </w:p>
    <w:p>
      <w:pPr>
        <w:ind w:left="500" w:right="120"/>
        <w:spacing w:after="0" w:line="263" w:lineRule="auto"/>
        <w:rPr>
          <w:sz w:val="20"/>
          <w:szCs w:val="20"/>
          <w:color w:val="auto"/>
        </w:rPr>
      </w:pPr>
      <w:r>
        <w:rPr>
          <w:rFonts w:ascii="Arial" w:cs="Arial" w:eastAsia="Arial" w:hAnsi="Arial"/>
          <w:sz w:val="18"/>
          <w:szCs w:val="18"/>
          <w:color w:val="auto"/>
        </w:rPr>
        <w:t>“Monetary liability as an alternative to criminal proceedings” - monetary liability imposed at law as an alternative to a criminal proceeding, including an administrative fine under the Administrative Crimes Law - 1985, a fine for a crime determined as a fine-crime under the provisions of the Criminal Procedural Regulations, and administrative fine or ransom.</w:t>
      </w:r>
    </w:p>
    <w:p>
      <w:pPr>
        <w:spacing w:after="0" w:line="184" w:lineRule="exact"/>
        <w:rPr>
          <w:sz w:val="20"/>
          <w:szCs w:val="20"/>
          <w:color w:val="auto"/>
        </w:rPr>
      </w:pPr>
    </w:p>
    <w:p>
      <w:pPr>
        <w:ind w:left="500" w:right="840" w:hanging="494"/>
        <w:spacing w:after="0" w:line="277" w:lineRule="auto"/>
        <w:tabs>
          <w:tab w:leader="none" w:pos="480" w:val="left"/>
        </w:tabs>
        <w:rPr>
          <w:sz w:val="20"/>
          <w:szCs w:val="20"/>
          <w:color w:val="auto"/>
        </w:rPr>
      </w:pPr>
      <w:r>
        <w:rPr>
          <w:rFonts w:ascii="Arial" w:cs="Arial" w:eastAsia="Arial" w:hAnsi="Arial"/>
          <w:sz w:val="18"/>
          <w:szCs w:val="18"/>
          <w:color w:val="auto"/>
        </w:rPr>
        <w:t>133.3.</w:t>
        <w:tab/>
        <w:t>Reasonable litigation expenses, including lawyers professional fees, which the officer expended or was obligated by the court, in proceedings commenced against him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43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0" w:name="page221"/>
    <w:bookmarkEnd w:id="220"/>
    <w:p>
      <w:pPr>
        <w:ind w:left="500" w:right="240"/>
        <w:spacing w:after="0" w:line="277" w:lineRule="auto"/>
        <w:rPr>
          <w:sz w:val="20"/>
          <w:szCs w:val="20"/>
          <w:color w:val="auto"/>
        </w:rPr>
      </w:pPr>
      <w:r>
        <w:rPr>
          <w:rFonts w:ascii="Arial" w:cs="Arial" w:eastAsia="Arial" w:hAnsi="Arial"/>
          <w:sz w:val="18"/>
          <w:szCs w:val="18"/>
          <w:color w:val="auto"/>
        </w:rPr>
        <w:t>Company or in its name or by some other person, or a criminal indictment from which he was acquitted or a criminal indictment in which he was convicted of a crime which does not require the proof of mens rea.</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6"/>
          <w:szCs w:val="16"/>
          <w:color w:val="auto"/>
        </w:rPr>
        <w:t>Any other liability or expense for which indemnification of an officer is and/or shall be permitted.</w:t>
      </w:r>
    </w:p>
    <w:p>
      <w:pPr>
        <w:spacing w:after="0" w:line="225"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8"/>
          <w:szCs w:val="18"/>
          <w:color w:val="auto"/>
        </w:rPr>
        <w:t>133.5.</w:t>
        <w:tab/>
        <w:t>An expense made in connection with proceedings under Section H3, H4 or I1 of the Securities Law, including reasonable litigation expenses and lawyer’s professional fees.</w:t>
      </w:r>
    </w:p>
    <w:p>
      <w:pPr>
        <w:spacing w:after="0" w:line="170" w:lineRule="exact"/>
        <w:rPr>
          <w:sz w:val="20"/>
          <w:szCs w:val="20"/>
          <w:color w:val="auto"/>
        </w:rPr>
      </w:pPr>
    </w:p>
    <w:p>
      <w:pPr>
        <w:ind w:left="500" w:right="200" w:hanging="492"/>
        <w:spacing w:after="0" w:line="308" w:lineRule="auto"/>
        <w:tabs>
          <w:tab w:leader="none" w:pos="139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Subject to the provisions of the Companies Law, nothing in the provisions of these Articles shall limit the Company in any manner in connection with its engagement in an insurance contract or in connection with the granting of an exemption or indemnification:</w:t>
      </w:r>
    </w:p>
    <w:p>
      <w:pPr>
        <w:spacing w:after="0" w:line="146" w:lineRule="exact"/>
        <w:rPr>
          <w:sz w:val="20"/>
          <w:szCs w:val="20"/>
          <w:color w:val="auto"/>
        </w:rPr>
      </w:pPr>
    </w:p>
    <w:p>
      <w:pPr>
        <w:ind w:left="500" w:right="1080" w:hanging="494"/>
        <w:spacing w:after="0" w:line="277" w:lineRule="auto"/>
        <w:tabs>
          <w:tab w:leader="none" w:pos="480" w:val="left"/>
        </w:tabs>
        <w:rPr>
          <w:sz w:val="20"/>
          <w:szCs w:val="20"/>
          <w:color w:val="auto"/>
        </w:rPr>
      </w:pPr>
      <w:r>
        <w:rPr>
          <w:rFonts w:ascii="Arial" w:cs="Arial" w:eastAsia="Arial" w:hAnsi="Arial"/>
          <w:sz w:val="18"/>
          <w:szCs w:val="18"/>
          <w:color w:val="auto"/>
        </w:rPr>
        <w:t>134.1.</w:t>
        <w:tab/>
        <w:t>In connection with an officer in the Company or a director in another Company, to such extent as the insurance, exemption or indemnification are not prohibited under any law.</w:t>
      </w:r>
    </w:p>
    <w:p>
      <w:pPr>
        <w:spacing w:after="0" w:line="170" w:lineRule="exact"/>
        <w:rPr>
          <w:sz w:val="20"/>
          <w:szCs w:val="20"/>
          <w:color w:val="auto"/>
        </w:rPr>
      </w:pPr>
    </w:p>
    <w:p>
      <w:pPr>
        <w:ind w:left="500" w:right="120" w:hanging="494"/>
        <w:spacing w:after="0" w:line="277" w:lineRule="auto"/>
        <w:tabs>
          <w:tab w:leader="none" w:pos="480" w:val="left"/>
        </w:tabs>
        <w:rPr>
          <w:sz w:val="20"/>
          <w:szCs w:val="20"/>
          <w:color w:val="auto"/>
        </w:rPr>
      </w:pPr>
      <w:r>
        <w:rPr>
          <w:rFonts w:ascii="Arial" w:cs="Arial" w:eastAsia="Arial" w:hAnsi="Arial"/>
          <w:sz w:val="18"/>
          <w:szCs w:val="18"/>
          <w:color w:val="auto"/>
        </w:rPr>
        <w:t>134.2.</w:t>
        <w:tab/>
        <w:t>In connection with parties who are not officers in the Company or directors in another Company, including but without detracting from the generality of that stated above, employees, contractors or advisers.</w:t>
      </w:r>
    </w:p>
    <w:p>
      <w:pPr>
        <w:spacing w:after="0" w:line="170" w:lineRule="exact"/>
        <w:rPr>
          <w:sz w:val="20"/>
          <w:szCs w:val="20"/>
          <w:color w:val="auto"/>
        </w:rPr>
      </w:pPr>
    </w:p>
    <w:p>
      <w:pPr>
        <w:ind w:left="500" w:hanging="494"/>
        <w:spacing w:after="0" w:line="257" w:lineRule="auto"/>
        <w:tabs>
          <w:tab w:leader="none" w:pos="480" w:val="left"/>
        </w:tabs>
        <w:rPr>
          <w:sz w:val="20"/>
          <w:szCs w:val="20"/>
          <w:color w:val="auto"/>
        </w:rPr>
      </w:pPr>
      <w:r>
        <w:rPr>
          <w:rFonts w:ascii="Arial" w:cs="Arial" w:eastAsia="Arial" w:hAnsi="Arial"/>
          <w:sz w:val="18"/>
          <w:szCs w:val="18"/>
          <w:color w:val="auto"/>
        </w:rPr>
        <w:t>134A.</w:t>
        <w:tab/>
        <w:t>The maximum amount of indemnification that the Company will pay to all officers who receive a letter of indemnity from the Company (in addition to the amounts received from an insurance company, if received, under directors and officers liability insurance purchased by the Company, if purchased), in the aggregate for one event or more, shall not exceed the greater of the following: (i) an amount that constitutes 25% of the Company’s shareholders’ equity after excluding the minority interest, on the actual payment date of the indemnification; and (ii) US $10 million, and if the Company lists for trade on a stock exchange outside of Israel - US $20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 Funds, and Amortization of Funds and Profits</w:t>
      </w:r>
    </w:p>
    <w:p>
      <w:pPr>
        <w:spacing w:after="0" w:line="229" w:lineRule="exact"/>
        <w:rPr>
          <w:sz w:val="20"/>
          <w:szCs w:val="20"/>
          <w:color w:val="auto"/>
        </w:rPr>
      </w:pPr>
    </w:p>
    <w:p>
      <w:pPr>
        <w:ind w:left="500" w:hanging="492"/>
        <w:spacing w:after="0" w:line="254" w:lineRule="auto"/>
        <w:tabs>
          <w:tab w:leader="none" w:pos="13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Board of Directors may, prior to resolving upon distribution of dividend, as stated in clause 137 above, allocate from the within the profits, certain amounts as they shall deem fit and subject to any law, to a general fund or to a fund reserved for distribution of dividend, for distribution of bonus shares or some other purpose, as shall be determined by the Board of Directors at its discretion. The Board of Directors of the Company may, prior to resolving upon distribution of dividend, allot from within the profits certain amounts, as which shall be in fit, to a general fund or to a fund reserved for any purpose, as the Board of Directors shall determine at its discretion. In accordance with the discretion of the Board of Directors, profits of the Company which the Board of Directors has not resolved to distribute as dividend shall be transferred to the following year.</w:t>
      </w:r>
    </w:p>
    <w:p>
      <w:pPr>
        <w:spacing w:after="0" w:line="194" w:lineRule="exact"/>
        <w:rPr>
          <w:rFonts w:ascii="Arial" w:cs="Arial" w:eastAsia="Arial" w:hAnsi="Arial"/>
          <w:sz w:val="18"/>
          <w:szCs w:val="18"/>
          <w:color w:val="auto"/>
        </w:rPr>
      </w:pPr>
    </w:p>
    <w:p>
      <w:pPr>
        <w:ind w:left="500" w:right="40" w:hanging="492"/>
        <w:spacing w:after="0" w:line="308" w:lineRule="auto"/>
        <w:tabs>
          <w:tab w:leader="none" w:pos="139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Until use is made of the aforementioned funds, the Board of Directors may invest the amounts allotted as stated above and the funds, in any investment, as it shall deem fit, and to handle such investments, to change them or to make any other use thereof,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431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1" w:name="page222"/>
    <w:bookmarkEnd w:id="221"/>
    <w:p>
      <w:pPr>
        <w:ind w:left="500" w:right="200"/>
        <w:spacing w:after="0" w:line="263" w:lineRule="auto"/>
        <w:rPr>
          <w:sz w:val="20"/>
          <w:szCs w:val="20"/>
          <w:color w:val="auto"/>
        </w:rPr>
      </w:pPr>
      <w:r>
        <w:rPr>
          <w:rFonts w:ascii="Arial" w:cs="Arial" w:eastAsia="Arial" w:hAnsi="Arial"/>
          <w:sz w:val="18"/>
          <w:szCs w:val="18"/>
          <w:color w:val="auto"/>
        </w:rPr>
        <w:t>entitled to distribute the reserved fund into special funds and to use each fund or part thereof for purposes of the business of the Company, without maintaining it separate from the remainder of the assets of the Company, all according to the discretion of the Board of Directors and the terms it shall determine.</w:t>
      </w:r>
    </w:p>
    <w:p>
      <w:pPr>
        <w:spacing w:after="0" w:line="184" w:lineRule="exact"/>
        <w:rPr>
          <w:sz w:val="20"/>
          <w:szCs w:val="20"/>
          <w:color w:val="auto"/>
        </w:rPr>
      </w:pPr>
    </w:p>
    <w:p>
      <w:pPr>
        <w:ind w:left="500" w:right="140" w:hanging="492"/>
        <w:spacing w:after="0" w:line="263" w:lineRule="auto"/>
        <w:tabs>
          <w:tab w:leader="none" w:pos="139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of Directors may resolve upon distribution of dividend. The Board of Directors resolving upon distribution of dividend may resolve that the dividend shall be paid, in whole and in part, in cash or in kind, and including this in securities or any other manner, at its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10780" w:type="dxa"/>
            <w:vAlign w:val="bottom"/>
          </w:tcPr>
          <w:p>
            <w:pPr>
              <w:ind w:left="1200"/>
              <w:spacing w:after="0"/>
              <w:rPr>
                <w:sz w:val="20"/>
                <w:szCs w:val="20"/>
                <w:color w:val="auto"/>
              </w:rPr>
            </w:pPr>
            <w:r>
              <w:rPr>
                <w:rFonts w:ascii="Arial" w:cs="Arial" w:eastAsia="Arial" w:hAnsi="Arial"/>
                <w:sz w:val="18"/>
                <w:szCs w:val="18"/>
                <w:color w:val="auto"/>
                <w:w w:val="94"/>
              </w:rPr>
              <w:t>Subject to the provisions of the Companies Law, the Board of Directors may resolve upon the allotment of bonus shares, and to</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4"/>
              </w:rPr>
              <w:t>convert into share capital as per the definition thereof in Article 302(b) of the Companies Law, some of the profits of the Company derived from</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0"/>
              </w:rPr>
              <w:t>shares or from a premium on shares or from any other source included in the shareholders capital, indicated in its last financial reports, in an amount</w:t>
            </w:r>
          </w:p>
        </w:tc>
      </w:tr>
      <w:tr>
        <w:trPr>
          <w:trHeight w:val="230"/>
        </w:trPr>
        <w:tc>
          <w:tcPr>
            <w:tcW w:w="460" w:type="dxa"/>
            <w:vAlign w:val="bottom"/>
          </w:tcPr>
          <w:p>
            <w:pPr>
              <w:spacing w:after="0"/>
              <w:rPr>
                <w:sz w:val="20"/>
                <w:szCs w:val="20"/>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rPr>
              <w:t>determined by the Board of Directors and which shall not be less than the nominal value of the bonus shares.</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10780" w:type="dxa"/>
            <w:vAlign w:val="bottom"/>
          </w:tcPr>
          <w:p>
            <w:pPr>
              <w:ind w:left="1180"/>
              <w:spacing w:after="0"/>
              <w:rPr>
                <w:sz w:val="20"/>
                <w:szCs w:val="20"/>
                <w:color w:val="auto"/>
              </w:rPr>
            </w:pPr>
            <w:r>
              <w:rPr>
                <w:rFonts w:ascii="Arial" w:cs="Arial" w:eastAsia="Arial" w:hAnsi="Arial"/>
                <w:sz w:val="18"/>
                <w:szCs w:val="18"/>
                <w:color w:val="auto"/>
                <w:w w:val="93"/>
              </w:rPr>
              <w:t>A Board of Directors resolving upon the allotment of bonus shares, shall determine whether they shall be of one class only for all</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0"/>
              </w:rPr>
              <w:t>shareholders without taking into account the class of shares held by them or for each shareholder as stated there shall be distributed bonus shares of</w:t>
            </w:r>
          </w:p>
        </w:tc>
      </w:tr>
      <w:tr>
        <w:trPr>
          <w:trHeight w:val="230"/>
        </w:trPr>
        <w:tc>
          <w:tcPr>
            <w:tcW w:w="460" w:type="dxa"/>
            <w:vAlign w:val="bottom"/>
          </w:tcPr>
          <w:p>
            <w:pPr>
              <w:spacing w:after="0"/>
              <w:rPr>
                <w:sz w:val="20"/>
                <w:szCs w:val="20"/>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rPr>
              <w:t>the same class in respect of each class of shares held by him.</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(C)</w:t>
            </w:r>
          </w:p>
        </w:tc>
        <w:tc>
          <w:tcPr>
            <w:tcW w:w="10780" w:type="dxa"/>
            <w:vAlign w:val="bottom"/>
          </w:tcPr>
          <w:p>
            <w:pPr>
              <w:ind w:left="1180"/>
              <w:spacing w:after="0"/>
              <w:rPr>
                <w:sz w:val="20"/>
                <w:szCs w:val="20"/>
                <w:color w:val="auto"/>
              </w:rPr>
            </w:pPr>
            <w:r>
              <w:rPr>
                <w:rFonts w:ascii="Arial" w:cs="Arial" w:eastAsia="Arial" w:hAnsi="Arial"/>
                <w:sz w:val="18"/>
                <w:szCs w:val="18"/>
                <w:color w:val="auto"/>
              </w:rPr>
              <w:t>Bonus shares which shall be allotted under this clause shall be deemed as fully paid up.</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w w:val="97"/>
              </w:rPr>
              <w:t>138.2</w:t>
            </w:r>
          </w:p>
        </w:tc>
        <w:tc>
          <w:tcPr>
            <w:tcW w:w="10780" w:type="dxa"/>
            <w:vAlign w:val="bottom"/>
          </w:tcPr>
          <w:p>
            <w:pPr>
              <w:ind w:left="700"/>
              <w:spacing w:after="0"/>
              <w:rPr>
                <w:sz w:val="20"/>
                <w:szCs w:val="20"/>
                <w:color w:val="auto"/>
              </w:rPr>
            </w:pPr>
            <w:r>
              <w:rPr>
                <w:rFonts w:ascii="Arial" w:cs="Arial" w:eastAsia="Arial" w:hAnsi="Arial"/>
                <w:sz w:val="18"/>
                <w:szCs w:val="18"/>
                <w:color w:val="auto"/>
                <w:w w:val="90"/>
              </w:rPr>
              <w:t>A Board of Directors resolving upon allotment of bonus shares may resolve that the Company shall transfer to a special fund designated for</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1"/>
              </w:rPr>
              <w:t>distribution of bonus shares in the future, such amounts that the conversion thereof into share capital shall suffice to allot to whomever shall, at such</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1"/>
              </w:rPr>
              <w:t>time for any reason, be entitled to purchase shares in the Company (including rights which may be implemented only at a later date), bonus shares</w:t>
            </w:r>
          </w:p>
        </w:tc>
      </w:tr>
      <w:tr>
        <w:trPr>
          <w:trHeight w:val="212"/>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1"/>
              </w:rPr>
              <w:t>which shall be due to him, had he exercised the right to purchase shares on the eve of the determining date for the right to receive the bonus shares</w:t>
            </w:r>
          </w:p>
        </w:tc>
      </w:tr>
      <w:tr>
        <w:trPr>
          <w:trHeight w:val="220"/>
        </w:trPr>
        <w:tc>
          <w:tcPr>
            <w:tcW w:w="460" w:type="dxa"/>
            <w:vAlign w:val="bottom"/>
          </w:tcPr>
          <w:p>
            <w:pPr>
              <w:spacing w:after="0"/>
              <w:rPr>
                <w:sz w:val="19"/>
                <w:szCs w:val="19"/>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6"/>
              </w:rPr>
              <w:t xml:space="preserve">(in this clause - “ </w:t>
            </w:r>
            <w:r>
              <w:rPr>
                <w:rFonts w:ascii="Arial" w:cs="Arial" w:eastAsia="Arial" w:hAnsi="Arial"/>
                <w:sz w:val="18"/>
                <w:szCs w:val="18"/>
                <w:b w:val="1"/>
                <w:bCs w:val="1"/>
                <w:color w:val="auto"/>
                <w:w w:val="96"/>
              </w:rPr>
              <w:t>the determining date</w:t>
            </w:r>
            <w:r>
              <w:rPr>
                <w:rFonts w:ascii="Arial" w:cs="Arial" w:eastAsia="Arial" w:hAnsi="Arial"/>
                <w:sz w:val="18"/>
                <w:szCs w:val="18"/>
                <w:color w:val="auto"/>
                <w:w w:val="96"/>
              </w:rPr>
              <w:t xml:space="preserve"> ”). In the event that after the determining date a holder of a right as stated shall exercise his right to</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2"/>
              </w:rPr>
              <w:t>purchase shares or part thereof, the Company shall allot bonus shares to him with a nominal value and which are due to him had he exercised the</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0"/>
              </w:rPr>
              <w:t>right to purchase shares which he actually purchased, on the eve of the determining date, and this by the conversion into share capital of the special</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1"/>
              </w:rPr>
              <w:t>fund as mentioned. Bonus shares shall accord the owners thereof participation and distribution of dividends in cash or bonus shares starting on the</w:t>
            </w:r>
          </w:p>
        </w:tc>
      </w:tr>
      <w:tr>
        <w:trPr>
          <w:trHeight w:val="216"/>
        </w:trPr>
        <w:tc>
          <w:tcPr>
            <w:tcW w:w="460" w:type="dxa"/>
            <w:vAlign w:val="bottom"/>
          </w:tcPr>
          <w:p>
            <w:pPr>
              <w:spacing w:after="0"/>
              <w:rPr>
                <w:sz w:val="18"/>
                <w:szCs w:val="18"/>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w w:val="92"/>
              </w:rPr>
              <w:t>date determined by the Board of Directors. With regard to determination of the amount which shall be transferred to the special fund as stated, any</w:t>
            </w:r>
          </w:p>
        </w:tc>
      </w:tr>
      <w:tr>
        <w:trPr>
          <w:trHeight w:val="230"/>
        </w:trPr>
        <w:tc>
          <w:tcPr>
            <w:tcW w:w="460" w:type="dxa"/>
            <w:vAlign w:val="bottom"/>
          </w:tcPr>
          <w:p>
            <w:pPr>
              <w:spacing w:after="0"/>
              <w:rPr>
                <w:sz w:val="20"/>
                <w:szCs w:val="20"/>
                <w:color w:val="auto"/>
              </w:rPr>
            </w:pPr>
          </w:p>
        </w:tc>
        <w:tc>
          <w:tcPr>
            <w:tcW w:w="10780" w:type="dxa"/>
            <w:vAlign w:val="bottom"/>
          </w:tcPr>
          <w:p>
            <w:pPr>
              <w:ind w:left="40"/>
              <w:spacing w:after="0"/>
              <w:rPr>
                <w:sz w:val="20"/>
                <w:szCs w:val="20"/>
                <w:color w:val="auto"/>
              </w:rPr>
            </w:pPr>
            <w:r>
              <w:rPr>
                <w:rFonts w:ascii="Arial" w:cs="Arial" w:eastAsia="Arial" w:hAnsi="Arial"/>
                <w:sz w:val="18"/>
                <w:szCs w:val="18"/>
                <w:color w:val="auto"/>
              </w:rPr>
              <w:t>amounts transferred to such fund in respect of previous distributions of bonus shares shall</w:t>
            </w:r>
          </w:p>
        </w:tc>
      </w:tr>
      <w:tr>
        <w:trPr>
          <w:trHeight w:val="1323"/>
        </w:trPr>
        <w:tc>
          <w:tcPr>
            <w:tcW w:w="460" w:type="dxa"/>
            <w:vAlign w:val="bottom"/>
          </w:tcPr>
          <w:p>
            <w:pPr>
              <w:spacing w:after="0"/>
              <w:rPr>
                <w:sz w:val="24"/>
                <w:szCs w:val="24"/>
                <w:color w:val="auto"/>
              </w:rPr>
            </w:pPr>
          </w:p>
        </w:tc>
        <w:tc>
          <w:tcPr>
            <w:tcW w:w="10780" w:type="dxa"/>
            <w:vAlign w:val="bottom"/>
          </w:tcPr>
          <w:p>
            <w:pPr>
              <w:spacing w:after="0"/>
              <w:rPr>
                <w:sz w:val="24"/>
                <w:szCs w:val="24"/>
                <w:color w:val="auto"/>
              </w:rPr>
            </w:pPr>
          </w:p>
        </w:tc>
      </w:tr>
      <w:tr>
        <w:trPr>
          <w:trHeight w:val="68"/>
        </w:trPr>
        <w:tc>
          <w:tcPr>
            <w:tcW w:w="460" w:type="dxa"/>
            <w:vAlign w:val="bottom"/>
            <w:shd w:val="clear" w:color="auto" w:fill="000000"/>
          </w:tcPr>
          <w:p>
            <w:pPr>
              <w:spacing w:after="0"/>
              <w:rPr>
                <w:sz w:val="5"/>
                <w:szCs w:val="5"/>
                <w:color w:val="auto"/>
              </w:rPr>
            </w:pPr>
          </w:p>
        </w:tc>
        <w:tc>
          <w:tcPr>
            <w:tcW w:w="107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08" w:right="339" w:bottom="1440" w:gutter="0" w:footer="0" w:header="0"/>
        </w:sectPr>
      </w:pPr>
    </w:p>
    <w:bookmarkStart w:id="222" w:name="page223"/>
    <w:bookmarkEnd w:id="222"/>
    <w:p>
      <w:pPr>
        <w:ind w:left="500"/>
        <w:spacing w:after="0"/>
        <w:rPr>
          <w:sz w:val="20"/>
          <w:szCs w:val="20"/>
          <w:color w:val="auto"/>
        </w:rPr>
      </w:pPr>
      <w:r>
        <w:rPr>
          <w:rFonts w:ascii="Arial" w:cs="Arial" w:eastAsia="Arial" w:hAnsi="Arial"/>
          <w:sz w:val="16"/>
          <w:szCs w:val="16"/>
          <w:color w:val="auto"/>
        </w:rPr>
        <w:t>be viewed as already amortized and that shares have already allotted from it, which grant bonus shares to the holders of the right to purchase shares.</w:t>
      </w:r>
    </w:p>
    <w:p>
      <w:pPr>
        <w:spacing w:after="0" w:line="248" w:lineRule="exact"/>
        <w:rPr>
          <w:sz w:val="20"/>
          <w:szCs w:val="20"/>
          <w:color w:val="auto"/>
        </w:rPr>
      </w:pPr>
    </w:p>
    <w:p>
      <w:pPr>
        <w:jc w:val="both"/>
        <w:ind w:left="500" w:right="60" w:hanging="492"/>
        <w:spacing w:after="0" w:line="263" w:lineRule="auto"/>
        <w:tabs>
          <w:tab w:leader="none" w:pos="139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the rights ancillary to the classes of shares issued by the Company and the provisions of these Articles, a dividend or a bonus share shall be distributed to the shareholders proportionally to the nominal value of each share, without taking into account any premium which was paid thereupon.</w:t>
      </w:r>
    </w:p>
    <w:p>
      <w:pPr>
        <w:spacing w:after="0" w:line="183" w:lineRule="exact"/>
        <w:rPr>
          <w:rFonts w:ascii="Arial" w:cs="Arial" w:eastAsia="Arial" w:hAnsi="Arial"/>
          <w:sz w:val="18"/>
          <w:szCs w:val="18"/>
          <w:color w:val="auto"/>
        </w:rPr>
      </w:pPr>
    </w:p>
    <w:p>
      <w:pPr>
        <w:ind w:left="1400" w:hanging="1392"/>
        <w:spacing w:after="0"/>
        <w:tabs>
          <w:tab w:leader="none" w:pos="14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order to execute a resolution regarding distribution of dividend or allotment of bonus shares, the Board of Directors is entitled: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140.1</w:t>
            </w:r>
          </w:p>
        </w:tc>
        <w:tc>
          <w:tcPr>
            <w:tcW w:w="10760" w:type="dxa"/>
            <w:vAlign w:val="bottom"/>
          </w:tcPr>
          <w:p>
            <w:pPr>
              <w:ind w:left="720"/>
              <w:spacing w:after="0"/>
              <w:rPr>
                <w:sz w:val="20"/>
                <w:szCs w:val="20"/>
                <w:color w:val="auto"/>
              </w:rPr>
            </w:pPr>
            <w:r>
              <w:rPr>
                <w:rFonts w:ascii="Arial" w:cs="Arial" w:eastAsia="Arial" w:hAnsi="Arial"/>
                <w:sz w:val="18"/>
                <w:szCs w:val="18"/>
                <w:color w:val="auto"/>
                <w:w w:val="91"/>
              </w:rPr>
              <w:t>To resolve at its discretion any difficulty which shall arise in connection therewith and to adopt all of the steps it deems proper to overcome</w:t>
            </w:r>
          </w:p>
        </w:tc>
      </w:tr>
      <w:tr>
        <w:trPr>
          <w:trHeight w:val="230"/>
        </w:trPr>
        <w:tc>
          <w:tcPr>
            <w:tcW w:w="460" w:type="dxa"/>
            <w:vAlign w:val="bottom"/>
          </w:tcPr>
          <w:p>
            <w:pPr>
              <w:spacing w:after="0"/>
              <w:rPr>
                <w:sz w:val="20"/>
                <w:szCs w:val="20"/>
                <w:color w:val="auto"/>
              </w:rPr>
            </w:pPr>
          </w:p>
        </w:tc>
        <w:tc>
          <w:tcPr>
            <w:tcW w:w="10760" w:type="dxa"/>
            <w:vAlign w:val="bottom"/>
          </w:tcPr>
          <w:p>
            <w:pPr>
              <w:ind w:left="40"/>
              <w:spacing w:after="0"/>
              <w:rPr>
                <w:sz w:val="20"/>
                <w:szCs w:val="20"/>
                <w:color w:val="auto"/>
              </w:rPr>
            </w:pPr>
            <w:r>
              <w:rPr>
                <w:rFonts w:ascii="Arial" w:cs="Arial" w:eastAsia="Arial" w:hAnsi="Arial"/>
                <w:sz w:val="18"/>
                <w:szCs w:val="18"/>
                <w:color w:val="auto"/>
              </w:rPr>
              <w:t>such difficulty.</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140.2</w:t>
            </w:r>
          </w:p>
        </w:tc>
        <w:tc>
          <w:tcPr>
            <w:tcW w:w="10760" w:type="dxa"/>
            <w:vAlign w:val="bottom"/>
          </w:tcPr>
          <w:p>
            <w:pPr>
              <w:ind w:left="720"/>
              <w:spacing w:after="0"/>
              <w:rPr>
                <w:sz w:val="20"/>
                <w:szCs w:val="20"/>
                <w:color w:val="auto"/>
              </w:rPr>
            </w:pPr>
            <w:r>
              <w:rPr>
                <w:rFonts w:ascii="Arial" w:cs="Arial" w:eastAsia="Arial" w:hAnsi="Arial"/>
                <w:sz w:val="18"/>
                <w:szCs w:val="18"/>
                <w:color w:val="auto"/>
                <w:w w:val="90"/>
              </w:rPr>
              <w:t>To resolve that fractions lower than a certain amount determined by the Board of Directors shall not be taken into account for adjustment of</w:t>
            </w:r>
          </w:p>
        </w:tc>
      </w:tr>
      <w:tr>
        <w:trPr>
          <w:trHeight w:val="230"/>
        </w:trPr>
        <w:tc>
          <w:tcPr>
            <w:tcW w:w="460" w:type="dxa"/>
            <w:vAlign w:val="bottom"/>
          </w:tcPr>
          <w:p>
            <w:pPr>
              <w:spacing w:after="0"/>
              <w:rPr>
                <w:sz w:val="20"/>
                <w:szCs w:val="20"/>
                <w:color w:val="auto"/>
              </w:rPr>
            </w:pPr>
          </w:p>
        </w:tc>
        <w:tc>
          <w:tcPr>
            <w:tcW w:w="10760" w:type="dxa"/>
            <w:vAlign w:val="bottom"/>
          </w:tcPr>
          <w:p>
            <w:pPr>
              <w:ind w:left="40"/>
              <w:spacing w:after="0"/>
              <w:rPr>
                <w:sz w:val="20"/>
                <w:szCs w:val="20"/>
                <w:color w:val="auto"/>
              </w:rPr>
            </w:pPr>
            <w:r>
              <w:rPr>
                <w:rFonts w:ascii="Arial" w:cs="Arial" w:eastAsia="Arial" w:hAnsi="Arial"/>
                <w:sz w:val="18"/>
                <w:szCs w:val="18"/>
                <w:color w:val="auto"/>
              </w:rPr>
              <w:t>the right of the shareholders or to sell fractions of shares and to pay the consideration for them (net) to those entitled to them.</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140.3</w:t>
            </w:r>
          </w:p>
        </w:tc>
        <w:tc>
          <w:tcPr>
            <w:tcW w:w="10760" w:type="dxa"/>
            <w:vAlign w:val="bottom"/>
          </w:tcPr>
          <w:p>
            <w:pPr>
              <w:ind w:left="720"/>
              <w:spacing w:after="0"/>
              <w:rPr>
                <w:sz w:val="20"/>
                <w:szCs w:val="20"/>
                <w:color w:val="auto"/>
              </w:rPr>
            </w:pPr>
            <w:r>
              <w:rPr>
                <w:rFonts w:ascii="Arial" w:cs="Arial" w:eastAsia="Arial" w:hAnsi="Arial"/>
                <w:sz w:val="18"/>
                <w:szCs w:val="18"/>
                <w:color w:val="auto"/>
                <w:w w:val="93"/>
              </w:rPr>
              <w:t>To authorize to sign on behalf of the shareholders upon any contract or other documents required for the validity of the allotment and or</w:t>
            </w:r>
          </w:p>
        </w:tc>
      </w:tr>
      <w:tr>
        <w:trPr>
          <w:trHeight w:val="230"/>
        </w:trPr>
        <w:tc>
          <w:tcPr>
            <w:tcW w:w="460" w:type="dxa"/>
            <w:vAlign w:val="bottom"/>
          </w:tcPr>
          <w:p>
            <w:pPr>
              <w:spacing w:after="0"/>
              <w:rPr>
                <w:sz w:val="20"/>
                <w:szCs w:val="20"/>
                <w:color w:val="auto"/>
              </w:rPr>
            </w:pPr>
          </w:p>
        </w:tc>
        <w:tc>
          <w:tcPr>
            <w:tcW w:w="10760" w:type="dxa"/>
            <w:vAlign w:val="bottom"/>
          </w:tcPr>
          <w:p>
            <w:pPr>
              <w:ind w:left="40"/>
              <w:spacing w:after="0"/>
              <w:rPr>
                <w:sz w:val="20"/>
                <w:szCs w:val="20"/>
                <w:color w:val="auto"/>
              </w:rPr>
            </w:pPr>
            <w:r>
              <w:rPr>
                <w:rFonts w:ascii="Arial" w:cs="Arial" w:eastAsia="Arial" w:hAnsi="Arial"/>
                <w:sz w:val="18"/>
                <w:szCs w:val="18"/>
                <w:color w:val="auto"/>
                <w:w w:val="93"/>
              </w:rPr>
              <w:t>distribution, and particularly to authorize to sign and submit for registration a document in writing as stated in Article 291 of the Companies Law.</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140.4</w:t>
            </w:r>
          </w:p>
        </w:tc>
        <w:tc>
          <w:tcPr>
            <w:tcW w:w="10760" w:type="dxa"/>
            <w:vAlign w:val="bottom"/>
          </w:tcPr>
          <w:p>
            <w:pPr>
              <w:ind w:left="720"/>
              <w:spacing w:after="0"/>
              <w:rPr>
                <w:sz w:val="20"/>
                <w:szCs w:val="20"/>
                <w:color w:val="auto"/>
              </w:rPr>
            </w:pPr>
            <w:r>
              <w:rPr>
                <w:rFonts w:ascii="Arial" w:cs="Arial" w:eastAsia="Arial" w:hAnsi="Arial"/>
                <w:sz w:val="18"/>
                <w:szCs w:val="18"/>
                <w:color w:val="auto"/>
                <w:w w:val="91"/>
              </w:rPr>
              <w:t>To determine the value of certain assets which shall be distributed and to decide that payments in cash will be paid to shareholders on the</w:t>
            </w:r>
          </w:p>
        </w:tc>
      </w:tr>
      <w:tr>
        <w:trPr>
          <w:trHeight w:val="230"/>
        </w:trPr>
        <w:tc>
          <w:tcPr>
            <w:tcW w:w="460" w:type="dxa"/>
            <w:vAlign w:val="bottom"/>
          </w:tcPr>
          <w:p>
            <w:pPr>
              <w:spacing w:after="0"/>
              <w:rPr>
                <w:sz w:val="20"/>
                <w:szCs w:val="20"/>
                <w:color w:val="auto"/>
              </w:rPr>
            </w:pPr>
          </w:p>
        </w:tc>
        <w:tc>
          <w:tcPr>
            <w:tcW w:w="10760" w:type="dxa"/>
            <w:vAlign w:val="bottom"/>
          </w:tcPr>
          <w:p>
            <w:pPr>
              <w:ind w:left="40"/>
              <w:spacing w:after="0"/>
              <w:rPr>
                <w:sz w:val="20"/>
                <w:szCs w:val="20"/>
                <w:color w:val="auto"/>
              </w:rPr>
            </w:pPr>
            <w:r>
              <w:rPr>
                <w:rFonts w:ascii="Arial" w:cs="Arial" w:eastAsia="Arial" w:hAnsi="Arial"/>
                <w:sz w:val="18"/>
                <w:szCs w:val="18"/>
                <w:color w:val="auto"/>
              </w:rPr>
              <w:t>basis of the value which was determined.</w:t>
            </w:r>
          </w:p>
        </w:tc>
      </w:tr>
      <w:tr>
        <w:trPr>
          <w:trHeight w:val="432"/>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140.5</w:t>
            </w:r>
          </w:p>
        </w:tc>
        <w:tc>
          <w:tcPr>
            <w:tcW w:w="10760" w:type="dxa"/>
            <w:vAlign w:val="bottom"/>
          </w:tcPr>
          <w:p>
            <w:pPr>
              <w:ind w:left="720"/>
              <w:spacing w:after="0"/>
              <w:rPr>
                <w:sz w:val="20"/>
                <w:szCs w:val="20"/>
                <w:color w:val="auto"/>
              </w:rPr>
            </w:pPr>
            <w:r>
              <w:rPr>
                <w:rFonts w:ascii="Arial" w:cs="Arial" w:eastAsia="Arial" w:hAnsi="Arial"/>
                <w:sz w:val="18"/>
                <w:szCs w:val="18"/>
                <w:color w:val="auto"/>
                <w:w w:val="94"/>
              </w:rPr>
              <w:t>To grant cash or certain assets to trustees in favor of parties entitled thereto, as shall seem practical in view of the Board of Directors.</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10760" w:type="dxa"/>
            <w:vAlign w:val="bottom"/>
          </w:tcPr>
          <w:p>
            <w:pPr>
              <w:ind w:left="720"/>
              <w:spacing w:after="0"/>
              <w:rPr>
                <w:sz w:val="20"/>
                <w:szCs w:val="20"/>
                <w:color w:val="auto"/>
              </w:rPr>
            </w:pPr>
            <w:r>
              <w:rPr>
                <w:rFonts w:ascii="Arial" w:cs="Arial" w:eastAsia="Arial" w:hAnsi="Arial"/>
                <w:sz w:val="18"/>
                <w:szCs w:val="18"/>
                <w:color w:val="auto"/>
                <w:w w:val="91"/>
              </w:rPr>
              <w:t>To make any arrangement or other arrangement which shall be required in the opinion of the Board of Directors to enable the allotment or</w:t>
            </w:r>
          </w:p>
        </w:tc>
      </w:tr>
      <w:tr>
        <w:trPr>
          <w:trHeight w:val="230"/>
        </w:trPr>
        <w:tc>
          <w:tcPr>
            <w:tcW w:w="460" w:type="dxa"/>
            <w:vAlign w:val="bottom"/>
          </w:tcPr>
          <w:p>
            <w:pPr>
              <w:spacing w:after="0"/>
              <w:rPr>
                <w:sz w:val="20"/>
                <w:szCs w:val="20"/>
                <w:color w:val="auto"/>
              </w:rPr>
            </w:pPr>
          </w:p>
        </w:tc>
        <w:tc>
          <w:tcPr>
            <w:tcW w:w="10760" w:type="dxa"/>
            <w:vAlign w:val="bottom"/>
          </w:tcPr>
          <w:p>
            <w:pPr>
              <w:ind w:left="40"/>
              <w:spacing w:after="0"/>
              <w:rPr>
                <w:sz w:val="20"/>
                <w:szCs w:val="20"/>
                <w:color w:val="auto"/>
              </w:rPr>
            </w:pPr>
            <w:r>
              <w:rPr>
                <w:rFonts w:ascii="Arial" w:cs="Arial" w:eastAsia="Arial" w:hAnsi="Arial"/>
                <w:sz w:val="18"/>
                <w:szCs w:val="18"/>
                <w:color w:val="auto"/>
              </w:rPr>
              <w:t>distribution, as the case may be.</w:t>
            </w:r>
          </w:p>
        </w:tc>
      </w:tr>
    </w:tbl>
    <w:p>
      <w:pPr>
        <w:spacing w:after="0" w:line="202" w:lineRule="exact"/>
        <w:rPr>
          <w:sz w:val="20"/>
          <w:szCs w:val="20"/>
          <w:color w:val="auto"/>
        </w:rPr>
      </w:pPr>
    </w:p>
    <w:p>
      <w:pPr>
        <w:ind w:left="1400" w:hanging="1392"/>
        <w:spacing w:after="0"/>
        <w:tabs>
          <w:tab w:leader="none" w:pos="14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Dividend or other benefit in respective shares shall not bear interest or linkage differences.</w:t>
      </w:r>
    </w:p>
    <w:p>
      <w:pPr>
        <w:spacing w:after="0" w:line="225" w:lineRule="exact"/>
        <w:rPr>
          <w:rFonts w:ascii="Arial" w:cs="Arial" w:eastAsia="Arial" w:hAnsi="Arial"/>
          <w:sz w:val="18"/>
          <w:szCs w:val="18"/>
          <w:color w:val="auto"/>
        </w:rPr>
      </w:pPr>
    </w:p>
    <w:p>
      <w:pPr>
        <w:ind w:left="500" w:right="140" w:hanging="492"/>
        <w:spacing w:after="0" w:line="301" w:lineRule="auto"/>
        <w:tabs>
          <w:tab w:leader="none" w:pos="139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Board of Directors may delay any dividend or bonus shares or other benefits in respect of a share for which the consideration determined therefor, in whole or in part, was not paid to the Company, and to collect any amount as stated or consideration which shall be received from the sale of any bonus shares or other benefits, on account of the debt or liability in respect of the aforementioned share, this, whether the aforementioned share is owned exclusively by the shareholder in debt or jointly with other shareholders.</w:t>
      </w:r>
    </w:p>
    <w:p>
      <w:pPr>
        <w:spacing w:after="0" w:line="157" w:lineRule="exact"/>
        <w:rPr>
          <w:rFonts w:ascii="Arial" w:cs="Arial" w:eastAsia="Arial" w:hAnsi="Arial"/>
          <w:sz w:val="16"/>
          <w:szCs w:val="16"/>
          <w:color w:val="auto"/>
        </w:rPr>
      </w:pPr>
    </w:p>
    <w:p>
      <w:pPr>
        <w:ind w:left="500" w:right="180" w:hanging="492"/>
        <w:spacing w:after="0" w:line="277" w:lineRule="auto"/>
        <w:tabs>
          <w:tab w:leader="none" w:pos="139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Board of Directors may delay any dividend or bonus share or other benefit in respect of a share to which a person is entitled to be registered as its owner in the registry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43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3" w:name="page224"/>
    <w:bookmarkEnd w:id="223"/>
    <w:p>
      <w:pPr>
        <w:ind w:left="500" w:right="340"/>
        <w:spacing w:after="0" w:line="277" w:lineRule="auto"/>
        <w:rPr>
          <w:sz w:val="20"/>
          <w:szCs w:val="20"/>
          <w:color w:val="auto"/>
        </w:rPr>
      </w:pPr>
      <w:r>
        <w:rPr>
          <w:rFonts w:ascii="Arial" w:cs="Arial" w:eastAsia="Arial" w:hAnsi="Arial"/>
          <w:sz w:val="18"/>
          <w:szCs w:val="18"/>
          <w:color w:val="auto"/>
        </w:rPr>
        <w:t>entitled to transfer it, under clauses 28 or 30 above, as the case may be, until such person shall be registered as the owner of the share or until he shall transfer it at law, as the case may be.</w:t>
      </w:r>
    </w:p>
    <w:p>
      <w:pPr>
        <w:spacing w:after="0" w:line="170" w:lineRule="exact"/>
        <w:rPr>
          <w:sz w:val="20"/>
          <w:szCs w:val="20"/>
          <w:color w:val="auto"/>
        </w:rPr>
      </w:pPr>
    </w:p>
    <w:p>
      <w:pPr>
        <w:ind w:left="500" w:right="20" w:hanging="492"/>
        <w:spacing w:after="0" w:line="259" w:lineRule="auto"/>
        <w:tabs>
          <w:tab w:leader="none" w:pos="13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Board of Directors may determine from time to time the manner of the payment of the dividend or allotment of bonus shares or their transfer to those entitled and instructions, procedures and arrangements in connection therewith, both with regard to the registered shareholders and non-registered shareholders. Without detracting from the generality of that stated above, the Board of Directors is entitled to determine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144.1.</w:t>
      </w:r>
    </w:p>
    <w:p>
      <w:pPr>
        <w:spacing w:after="0" w:line="225" w:lineRule="exact"/>
        <w:rPr>
          <w:sz w:val="20"/>
          <w:szCs w:val="20"/>
          <w:color w:val="auto"/>
        </w:rPr>
      </w:pPr>
    </w:p>
    <w:p>
      <w:pPr>
        <w:ind w:left="500" w:hanging="494"/>
        <w:spacing w:after="0" w:line="255" w:lineRule="auto"/>
        <w:tabs>
          <w:tab w:leader="none" w:pos="480" w:val="left"/>
        </w:tabs>
        <w:rPr>
          <w:sz w:val="20"/>
          <w:szCs w:val="20"/>
          <w:color w:val="auto"/>
        </w:rPr>
      </w:pPr>
      <w:r>
        <w:rPr>
          <w:rFonts w:ascii="Arial" w:cs="Arial" w:eastAsia="Arial" w:hAnsi="Arial"/>
          <w:sz w:val="18"/>
          <w:szCs w:val="18"/>
          <w:color w:val="auto"/>
        </w:rPr>
        <w:t>(A)</w:t>
        <w:tab/>
        <w:t>Subject to that stated in sub-clause (B) below, a dividend or funds which shall be distributed to registered shareholders shall be paid to the registered shareholder by the dispatch of a check by post to his address as shall be registered in registry of shareholders, or in the instance of jointly registered owners of the share, to the party whose name appears first in the registry of shareholders regarding such share. Every dispatch of a check as stated shall be made at the risk of the registered shareholder. Without detracting from that stated above, the Board of Directors may determine that a dividend amount less than a certain amounts determined by the Board of Directors shall not be sent by check as stated, and there shall apply to it the provisions of sub-clause (B) below.</w:t>
      </w:r>
    </w:p>
    <w:p>
      <w:pPr>
        <w:spacing w:after="0" w:line="192" w:lineRule="exact"/>
        <w:rPr>
          <w:sz w:val="20"/>
          <w:szCs w:val="20"/>
          <w:color w:val="auto"/>
        </w:rPr>
      </w:pPr>
    </w:p>
    <w:p>
      <w:pPr>
        <w:ind w:left="500" w:right="260" w:hanging="494"/>
        <w:spacing w:after="0" w:line="277" w:lineRule="auto"/>
        <w:tabs>
          <w:tab w:leader="none" w:pos="480" w:val="left"/>
        </w:tabs>
        <w:rPr>
          <w:sz w:val="20"/>
          <w:szCs w:val="20"/>
          <w:color w:val="auto"/>
        </w:rPr>
      </w:pPr>
      <w:r>
        <w:rPr>
          <w:rFonts w:ascii="Arial" w:cs="Arial" w:eastAsia="Arial" w:hAnsi="Arial"/>
          <w:sz w:val="18"/>
          <w:szCs w:val="18"/>
          <w:color w:val="auto"/>
        </w:rPr>
        <w:t>(B)</w:t>
        <w:tab/>
        <w:t>The Board of Directors may determine that the payment of dividend or funds which are distributed to the registered shareholders, may be made at the office or any other place determined by the Board of Directors.</w:t>
      </w:r>
    </w:p>
    <w:p>
      <w:pPr>
        <w:spacing w:after="0" w:line="170" w:lineRule="exact"/>
        <w:rPr>
          <w:sz w:val="20"/>
          <w:szCs w:val="20"/>
          <w:color w:val="auto"/>
        </w:rPr>
      </w:pPr>
    </w:p>
    <w:p>
      <w:pPr>
        <w:ind w:left="500" w:right="40" w:hanging="494"/>
        <w:spacing w:after="0" w:line="277" w:lineRule="auto"/>
        <w:tabs>
          <w:tab w:leader="none" w:pos="480" w:val="left"/>
        </w:tabs>
        <w:rPr>
          <w:sz w:val="20"/>
          <w:szCs w:val="20"/>
          <w:color w:val="auto"/>
        </w:rPr>
      </w:pPr>
      <w:r>
        <w:rPr>
          <w:rFonts w:ascii="Arial" w:cs="Arial" w:eastAsia="Arial" w:hAnsi="Arial"/>
          <w:sz w:val="18"/>
          <w:szCs w:val="18"/>
          <w:color w:val="auto"/>
        </w:rPr>
        <w:t>144.2.</w:t>
        <w:tab/>
        <w:t>Dividends distributed to non-registered shareholders shall be transferred to such shareholders by means of a company for registration or any other means determined by the Board of Directors.</w:t>
      </w:r>
    </w:p>
    <w:p>
      <w:pPr>
        <w:spacing w:after="0" w:line="170" w:lineRule="exact"/>
        <w:rPr>
          <w:sz w:val="20"/>
          <w:szCs w:val="20"/>
          <w:color w:val="auto"/>
        </w:rPr>
      </w:pPr>
    </w:p>
    <w:p>
      <w:pPr>
        <w:ind w:left="500" w:right="220" w:hanging="492"/>
        <w:spacing w:after="0" w:line="277" w:lineRule="auto"/>
        <w:tabs>
          <w:tab w:leader="none" w:pos="139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two or more persons are jointly registered for a share in the registry of shareholders, each of them is entitled to issue a valid receipt for any dividend, share or other security, or other funds or benefits due in respect of the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Documents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146.</w:t>
      </w:r>
    </w:p>
    <w:p>
      <w:pPr>
        <w:spacing w:after="0" w:line="225" w:lineRule="exact"/>
        <w:rPr>
          <w:sz w:val="20"/>
          <w:szCs w:val="20"/>
          <w:color w:val="auto"/>
        </w:rPr>
      </w:pPr>
    </w:p>
    <w:p>
      <w:pPr>
        <w:ind w:left="500" w:right="100" w:hanging="494"/>
        <w:spacing w:after="0" w:line="277" w:lineRule="auto"/>
        <w:tabs>
          <w:tab w:leader="none" w:pos="480" w:val="left"/>
        </w:tabs>
        <w:rPr>
          <w:sz w:val="20"/>
          <w:szCs w:val="20"/>
          <w:color w:val="auto"/>
        </w:rPr>
      </w:pPr>
      <w:r>
        <w:rPr>
          <w:rFonts w:ascii="Arial" w:cs="Arial" w:eastAsia="Arial" w:hAnsi="Arial"/>
          <w:sz w:val="18"/>
          <w:szCs w:val="18"/>
          <w:color w:val="auto"/>
        </w:rPr>
        <w:t>146.1.</w:t>
        <w:tab/>
        <w:t>Shareholders shall have a right to view documents of the Company specified in Articles 184 of the Companies Law, upon fulfillment of the conditions determined therefor.</w:t>
      </w:r>
    </w:p>
    <w:p>
      <w:pPr>
        <w:spacing w:after="0" w:line="170" w:lineRule="exact"/>
        <w:rPr>
          <w:sz w:val="20"/>
          <w:szCs w:val="20"/>
          <w:color w:val="auto"/>
        </w:rPr>
      </w:pPr>
    </w:p>
    <w:p>
      <w:pPr>
        <w:ind w:left="500" w:right="80" w:hanging="494"/>
        <w:spacing w:after="0" w:line="308" w:lineRule="auto"/>
        <w:tabs>
          <w:tab w:leader="none" w:pos="480" w:val="left"/>
        </w:tabs>
        <w:rPr>
          <w:sz w:val="20"/>
          <w:szCs w:val="20"/>
          <w:color w:val="auto"/>
        </w:rPr>
      </w:pPr>
      <w:r>
        <w:rPr>
          <w:rFonts w:ascii="Arial" w:cs="Arial" w:eastAsia="Arial" w:hAnsi="Arial"/>
          <w:sz w:val="18"/>
          <w:szCs w:val="18"/>
          <w:color w:val="auto"/>
        </w:rPr>
        <w:t>146.2.</w:t>
      </w:r>
      <w:r>
        <w:rPr>
          <w:sz w:val="20"/>
          <w:szCs w:val="20"/>
          <w:color w:val="auto"/>
        </w:rPr>
        <w:tab/>
      </w:r>
      <w:r>
        <w:rPr>
          <w:rFonts w:ascii="Arial" w:cs="Arial" w:eastAsia="Arial" w:hAnsi="Arial"/>
          <w:sz w:val="17"/>
          <w:szCs w:val="17"/>
          <w:color w:val="auto"/>
        </w:rPr>
        <w:t>Shareholders shall not have a right to view documents of the Company or any part of them save if they were granted a right as stated, under statute or under these Articles or if they were permitted so to do by the Board of Directors as stated in Clause 146.1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43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4" w:name="page225"/>
    <w:bookmarkEnd w:id="224"/>
    <w:p>
      <w:pPr>
        <w:ind w:left="500" w:right="160" w:hanging="492"/>
        <w:spacing w:after="0" w:line="277" w:lineRule="auto"/>
        <w:tabs>
          <w:tab w:leader="none" w:pos="139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the provisions of applicable law, any book, record or registry which the Company must maintain in accordance with the law or these Articles, will be maintained using technical or other means as decided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Reports</w:t>
      </w:r>
    </w:p>
    <w:p>
      <w:pPr>
        <w:spacing w:after="0" w:line="229" w:lineRule="exact"/>
        <w:rPr>
          <w:sz w:val="20"/>
          <w:szCs w:val="20"/>
          <w:color w:val="auto"/>
        </w:rPr>
      </w:pPr>
    </w:p>
    <w:p>
      <w:pPr>
        <w:ind w:left="1400" w:hanging="1392"/>
        <w:spacing w:after="0"/>
        <w:tabs>
          <w:tab w:leader="none" w:pos="14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financial reports of the Company shall be signed by the party authorized therefor by the Board of Directors, as required at law.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Auditing Accountant</w:t>
      </w:r>
    </w:p>
    <w:p>
      <w:pPr>
        <w:spacing w:after="0" w:line="229" w:lineRule="exact"/>
        <w:rPr>
          <w:sz w:val="20"/>
          <w:szCs w:val="20"/>
          <w:color w:val="auto"/>
        </w:rPr>
      </w:pPr>
    </w:p>
    <w:p>
      <w:pPr>
        <w:ind w:left="500" w:right="60" w:hanging="492"/>
        <w:spacing w:after="0" w:line="277" w:lineRule="auto"/>
        <w:tabs>
          <w:tab w:leader="none" w:pos="139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auditing accountant or the auditing accountants shall be appointed at every annual meeting and shall serve in their position until the end of the following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150.</w:t>
      </w:r>
    </w:p>
    <w:p>
      <w:pPr>
        <w:spacing w:after="0" w:line="225" w:lineRule="exact"/>
        <w:rPr>
          <w:sz w:val="20"/>
          <w:szCs w:val="20"/>
          <w:color w:val="auto"/>
        </w:rPr>
      </w:pPr>
    </w:p>
    <w:p>
      <w:pPr>
        <w:ind w:left="500" w:right="760" w:hanging="494"/>
        <w:spacing w:after="0" w:line="277" w:lineRule="auto"/>
        <w:tabs>
          <w:tab w:leader="none" w:pos="480" w:val="left"/>
        </w:tabs>
        <w:rPr>
          <w:sz w:val="20"/>
          <w:szCs w:val="20"/>
          <w:color w:val="auto"/>
        </w:rPr>
      </w:pPr>
      <w:r>
        <w:rPr>
          <w:rFonts w:ascii="Arial" w:cs="Arial" w:eastAsia="Arial" w:hAnsi="Arial"/>
          <w:sz w:val="18"/>
          <w:szCs w:val="18"/>
          <w:color w:val="auto"/>
        </w:rPr>
        <w:t>150.1.</w:t>
        <w:tab/>
        <w:t>The Board of Directors shall determine the wage for the audit activity of the auditing accountant appointed by the Company, at the discretion of the Board of Directors.</w:t>
      </w:r>
    </w:p>
    <w:p>
      <w:pPr>
        <w:spacing w:after="0" w:line="170" w:lineRule="exact"/>
        <w:rPr>
          <w:sz w:val="20"/>
          <w:szCs w:val="20"/>
          <w:color w:val="auto"/>
        </w:rPr>
      </w:pPr>
    </w:p>
    <w:p>
      <w:pPr>
        <w:ind w:left="500" w:hanging="494"/>
        <w:spacing w:after="0" w:line="277" w:lineRule="auto"/>
        <w:tabs>
          <w:tab w:leader="none" w:pos="480" w:val="left"/>
        </w:tabs>
        <w:rPr>
          <w:sz w:val="20"/>
          <w:szCs w:val="20"/>
          <w:color w:val="auto"/>
        </w:rPr>
      </w:pPr>
      <w:r>
        <w:rPr>
          <w:rFonts w:ascii="Arial" w:cs="Arial" w:eastAsia="Arial" w:hAnsi="Arial"/>
          <w:sz w:val="18"/>
          <w:szCs w:val="18"/>
          <w:color w:val="auto"/>
        </w:rPr>
        <w:t>150.2.</w:t>
        <w:tab/>
        <w:t>The wage of the auditing accountant for additional services to the Company which are not auditing service, shall be determined by the Board of Directors at its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500" w:right="140" w:hanging="492"/>
        <w:spacing w:after="0" w:line="277" w:lineRule="auto"/>
        <w:tabs>
          <w:tab w:leader="none" w:pos="139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provision of notices or delivery of documents to shareholders and a company for registration, in accordance with the provisions of the law or these Articles, shall be in such manners indicated below in this section.</w:t>
      </w:r>
    </w:p>
    <w:p>
      <w:pPr>
        <w:spacing w:after="0" w:line="170" w:lineRule="exact"/>
        <w:rPr>
          <w:rFonts w:ascii="Arial" w:cs="Arial" w:eastAsia="Arial" w:hAnsi="Arial"/>
          <w:sz w:val="18"/>
          <w:szCs w:val="18"/>
          <w:color w:val="auto"/>
        </w:rPr>
      </w:pPr>
    </w:p>
    <w:p>
      <w:pPr>
        <w:ind w:left="1400" w:hanging="1392"/>
        <w:spacing w:after="0"/>
        <w:tabs>
          <w:tab w:leader="none" w:pos="14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Notice of a general meeting shall be delivered in accordance with Clause 53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225" w:lineRule="exact"/>
        <w:rPr>
          <w:sz w:val="20"/>
          <w:szCs w:val="20"/>
          <w:color w:val="auto"/>
        </w:rPr>
      </w:pPr>
    </w:p>
    <w:p>
      <w:pPr>
        <w:ind w:left="500" w:hanging="494"/>
        <w:spacing w:after="0" w:line="257" w:lineRule="auto"/>
        <w:tabs>
          <w:tab w:leader="none" w:pos="480" w:val="left"/>
        </w:tabs>
        <w:rPr>
          <w:sz w:val="20"/>
          <w:szCs w:val="20"/>
          <w:color w:val="auto"/>
        </w:rPr>
      </w:pPr>
      <w:r>
        <w:rPr>
          <w:rFonts w:ascii="Arial" w:cs="Arial" w:eastAsia="Arial" w:hAnsi="Arial"/>
          <w:sz w:val="18"/>
          <w:szCs w:val="18"/>
          <w:color w:val="auto"/>
        </w:rPr>
        <w:t>153.1.</w:t>
        <w:tab/>
        <w:t>Without detracting from that stated above, the Company is entitled to deliver notice or document to a shareholder by personal delivery or by facsimile or by post or by electronic mail. Postal delivery shall be made to the address of the shareholder registered in the registry or in the absence of such registered address, at the address delivered by him to the Company for the dispatch of notices to him. Notice delivered by means of facsimile shall be sent to the shareholder in accordance with the facsimile number delivered by him to the Company. Notice delivered by email shall be sent to the shareholder at the email address delivered by him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153.2.</w:t>
      </w:r>
    </w:p>
    <w:p>
      <w:pPr>
        <w:spacing w:after="0" w:line="225"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Notice or documents delivered to the shareholder shall be deemed delivered upon their time of their delivery to his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431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left="500" w:right="220" w:hanging="494"/>
        <w:spacing w:after="0" w:line="259" w:lineRule="auto"/>
        <w:tabs>
          <w:tab w:leader="none" w:pos="480" w:val="left"/>
        </w:tabs>
        <w:rPr>
          <w:sz w:val="20"/>
          <w:szCs w:val="20"/>
          <w:color w:val="auto"/>
        </w:rPr>
      </w:pPr>
      <w:r>
        <w:rPr>
          <w:rFonts w:ascii="Arial" w:cs="Arial" w:eastAsia="Arial" w:hAnsi="Arial"/>
          <w:sz w:val="18"/>
          <w:szCs w:val="18"/>
          <w:color w:val="auto"/>
        </w:rPr>
        <w:t>(B)</w:t>
        <w:tab/>
        <w:t>Notice or documents sent by post shall be deemed properly delivered if delivered for postal dispatch when they bear the proper address and are lawfully postaged. Delivery shall be deemed to have been performed at the time at which the letter was to be delivered in the ordinary manner by the post, and not more than three days from the date in which the letter including the notice was delivered as stated at the post office.</w:t>
      </w:r>
    </w:p>
    <w:p>
      <w:pPr>
        <w:sectPr>
          <w:pgSz w:w="11900" w:h="16838" w:orient="portrait"/>
          <w:cols w:equalWidth="0" w:num="1">
            <w:col w:w="11240"/>
          </w:cols>
          <w:pgMar w:left="320" w:top="908"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Notice sent by facsimile or email shall be deemed delivered 24 hours after the dispatch.</w:t>
      </w:r>
    </w:p>
    <w:p>
      <w:pPr>
        <w:spacing w:after="0" w:line="211" w:lineRule="exact"/>
        <w:rPr>
          <w:sz w:val="20"/>
          <w:szCs w:val="20"/>
          <w:color w:val="auto"/>
        </w:rPr>
      </w:pPr>
    </w:p>
    <w:p>
      <w:pPr>
        <w:sectPr>
          <w:pgSz w:w="11900" w:h="16838" w:orient="portrait"/>
          <w:cols w:equalWidth="0" w:num="2">
            <w:col w:w="920" w:space="720"/>
            <w:col w:w="9600"/>
          </w:cols>
          <w:pgMar w:left="320" w:top="908" w:right="339" w:bottom="1440" w:gutter="0" w:footer="0" w:header="0"/>
          <w:type w:val="continuous"/>
        </w:sectPr>
      </w:pPr>
    </w:p>
    <w:p>
      <w:pPr>
        <w:spacing w:after="0" w:line="37" w:lineRule="exact"/>
        <w:rPr>
          <w:sz w:val="20"/>
          <w:szCs w:val="20"/>
          <w:color w:val="auto"/>
        </w:rPr>
      </w:pPr>
    </w:p>
    <w:p>
      <w:pPr>
        <w:jc w:val="both"/>
        <w:ind w:left="500" w:right="40" w:hanging="492"/>
        <w:spacing w:after="0" w:line="263" w:lineRule="auto"/>
        <w:tabs>
          <w:tab w:leader="none" w:pos="13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Without detracting from that stated above, the Company is entitled to deliver notice to shareholders by publication of the notice once, in two daily papers published in Israel in the Hebrew language, both in addition to and in the stead of notice as stated in clause 153 above. The date of publication in the paper shall be deemed the date of receipt of the notice by the shareholders.</w:t>
      </w:r>
    </w:p>
    <w:p>
      <w:pPr>
        <w:spacing w:after="0" w:line="183" w:lineRule="exact"/>
        <w:rPr>
          <w:rFonts w:ascii="Arial" w:cs="Arial" w:eastAsia="Arial" w:hAnsi="Arial"/>
          <w:sz w:val="18"/>
          <w:szCs w:val="18"/>
          <w:color w:val="auto"/>
        </w:rPr>
      </w:pPr>
    </w:p>
    <w:p>
      <w:pPr>
        <w:ind w:left="500" w:right="580" w:hanging="492"/>
        <w:spacing w:after="0" w:line="277" w:lineRule="auto"/>
        <w:tabs>
          <w:tab w:leader="none" w:pos="13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is entitled to notify upon the delivery of a document at the office or in any other place determined by the Board of Directors or in any other manner, including by means of the internet.</w:t>
      </w:r>
    </w:p>
    <w:p>
      <w:pPr>
        <w:spacing w:after="0" w:line="170" w:lineRule="exact"/>
        <w:rPr>
          <w:rFonts w:ascii="Arial" w:cs="Arial" w:eastAsia="Arial" w:hAnsi="Arial"/>
          <w:sz w:val="18"/>
          <w:szCs w:val="18"/>
          <w:color w:val="auto"/>
        </w:rPr>
      </w:pPr>
    </w:p>
    <w:p>
      <w:pPr>
        <w:ind w:left="500" w:right="240" w:hanging="492"/>
        <w:spacing w:after="0" w:line="277" w:lineRule="auto"/>
        <w:tabs>
          <w:tab w:leader="none" w:pos="13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is entitled to deliver to joint shareholders a notice or a document by dispatched to the shareholder whose name appears first in the registry of shareholders for such share.</w:t>
      </w:r>
    </w:p>
    <w:p>
      <w:pPr>
        <w:spacing w:after="0" w:line="170" w:lineRule="exact"/>
        <w:rPr>
          <w:rFonts w:ascii="Arial" w:cs="Arial" w:eastAsia="Arial" w:hAnsi="Arial"/>
          <w:sz w:val="18"/>
          <w:szCs w:val="18"/>
          <w:color w:val="auto"/>
        </w:rPr>
      </w:pPr>
    </w:p>
    <w:p>
      <w:pPr>
        <w:jc w:val="both"/>
        <w:ind w:left="500" w:right="40" w:hanging="492"/>
        <w:spacing w:after="0" w:line="263" w:lineRule="auto"/>
        <w:tabs>
          <w:tab w:leader="none" w:pos="139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Every person to whom a right to any share was lawfully transferred, by transfer or any other manner, shall be bound by such notice with regard to such share which was lawfully delivered to the person from whom his right derives to such share, prior to the recording of his details in the registry.</w:t>
      </w:r>
    </w:p>
    <w:p>
      <w:pPr>
        <w:spacing w:after="0" w:line="183" w:lineRule="exact"/>
        <w:rPr>
          <w:rFonts w:ascii="Arial" w:cs="Arial" w:eastAsia="Arial" w:hAnsi="Arial"/>
          <w:sz w:val="18"/>
          <w:szCs w:val="18"/>
          <w:color w:val="auto"/>
        </w:rPr>
      </w:pPr>
    </w:p>
    <w:p>
      <w:pPr>
        <w:ind w:left="500" w:right="60" w:hanging="492"/>
        <w:spacing w:after="0" w:line="296" w:lineRule="auto"/>
        <w:tabs>
          <w:tab w:leader="none" w:pos="138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document or notice delivered to a shareholder in the Company in accordance with the provisions of these Articles shall be deemed as properly delivered notwithstanding his death, bankruptcy or the liquidation of such shareholder or the assignment of the right in the shares, in accordance with the law (whether the Company knew thereof or not) for so long as some other party was not registered in his stead as a shareholder, and the dispatch or delivery as stated shall be deemed for all purposes as sufficient with regard to any party interested in such shares and/or entitled to them by virtue of assignment of the right, in accordance with the law, whether together with such shareholder or by virtue thereof or in his stead.</w:t>
      </w:r>
    </w:p>
    <w:p>
      <w:pPr>
        <w:spacing w:after="0" w:line="161" w:lineRule="exact"/>
        <w:rPr>
          <w:rFonts w:ascii="Arial" w:cs="Arial" w:eastAsia="Arial" w:hAnsi="Arial"/>
          <w:sz w:val="16"/>
          <w:szCs w:val="16"/>
          <w:color w:val="auto"/>
        </w:rPr>
      </w:pPr>
    </w:p>
    <w:p>
      <w:pPr>
        <w:ind w:left="500" w:right="80" w:hanging="492"/>
        <w:spacing w:after="0" w:line="259" w:lineRule="auto"/>
        <w:tabs>
          <w:tab w:leader="none" w:pos="139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Subject to the provisions of applicable law, a shareholder, director or any other party, who is entitled to receive notice in accordance with these Articles or at law, may waive its receipt, whether an advance or in retrospect, whether in a special circumstance or in general, and having done so, the notice will be deemed to have been lawfully provided and any proceedings or action in respect of which notice was to have been given, shall be deemed valid and in force.</w:t>
      </w:r>
    </w:p>
    <w:p>
      <w:pPr>
        <w:spacing w:after="0" w:line="186" w:lineRule="exact"/>
        <w:rPr>
          <w:rFonts w:ascii="Arial" w:cs="Arial" w:eastAsia="Arial" w:hAnsi="Arial"/>
          <w:sz w:val="18"/>
          <w:szCs w:val="18"/>
          <w:color w:val="auto"/>
        </w:rPr>
      </w:pPr>
    </w:p>
    <w:p>
      <w:pPr>
        <w:ind w:left="500" w:hanging="492"/>
        <w:spacing w:after="0" w:line="277" w:lineRule="auto"/>
        <w:tabs>
          <w:tab w:leader="none" w:pos="139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Confirmation in writing signed by a director or by the Secretary of the Company with regard to the dispatch of a document or a notice in any one of the manners specified in these Articles, shall be deemed decisive proof of any detail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431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6" w:name="page227"/>
    <w:bookmarkEnd w:id="226"/>
    <w:p>
      <w:pPr>
        <w:ind w:left="500" w:hanging="492"/>
        <w:spacing w:after="0" w:line="286" w:lineRule="auto"/>
        <w:tabs>
          <w:tab w:leader="none" w:pos="139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For so long as advance notice of a number of days must be granted or a notice is valid for a certain period, the date of delivery shall be included in the count of the number of days or the period, save as indicated otherwise. If notice was given in more than one of the manners specified above, it shall be deemed to have been received at the earliest dates at which it was considered received, as stated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Merger</w:t>
      </w:r>
    </w:p>
    <w:p>
      <w:pPr>
        <w:spacing w:after="0" w:line="229" w:lineRule="exact"/>
        <w:rPr>
          <w:sz w:val="20"/>
          <w:szCs w:val="20"/>
          <w:color w:val="auto"/>
        </w:rPr>
      </w:pPr>
    </w:p>
    <w:p>
      <w:pPr>
        <w:ind w:left="500" w:right="160" w:hanging="492"/>
        <w:spacing w:after="0" w:line="277" w:lineRule="auto"/>
        <w:tabs>
          <w:tab w:leader="none" w:pos="138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Approval of a merger in accordance with the first chapter of the eighth section of the Companies Law, requires an ordinary majority in the general meeting or a class meeting, as the case maybe, and all subject to the provisions of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Liquidation</w:t>
      </w:r>
    </w:p>
    <w:p>
      <w:pPr>
        <w:spacing w:after="0" w:line="229" w:lineRule="exact"/>
        <w:rPr>
          <w:sz w:val="20"/>
          <w:szCs w:val="20"/>
          <w:color w:val="auto"/>
        </w:rPr>
      </w:pPr>
    </w:p>
    <w:p>
      <w:pPr>
        <w:ind w:left="500" w:right="120" w:hanging="492"/>
        <w:spacing w:after="0" w:line="293" w:lineRule="auto"/>
        <w:tabs>
          <w:tab w:leader="none" w:pos="139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Subject to the provisions of applicable law, the liquidator is entitled, whether in voluntary or other liquidation, in accordance with the resolution of the general meeting passed by ordinary majority, to distribute in kind between the shareholders, the surplus assets, in whole or in part, and the liquidator is further entitled in accordance with a resolution of the general meeting passed by an ordinary majority to deposit any part of the surplus assets in trust which shall be held in favor of the shareholders, as the liquidator shall deem appropriate. For the purpose of distribution of surplus assets in kind, the liquidator may determine the proper value of the property available for distribution and to decide how to carry out the distribution between the shareholders taking into account the ancillary rights from the different classes of shares in the Company which they own.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Bearer Shares</w:t>
      </w:r>
    </w:p>
    <w:p>
      <w:pPr>
        <w:spacing w:after="0" w:line="229" w:lineRule="exact"/>
        <w:rPr>
          <w:sz w:val="20"/>
          <w:szCs w:val="20"/>
          <w:color w:val="auto"/>
        </w:rPr>
      </w:pPr>
    </w:p>
    <w:p>
      <w:pPr>
        <w:jc w:val="both"/>
        <w:ind w:left="500" w:right="140" w:hanging="492"/>
        <w:spacing w:after="0" w:line="259" w:lineRule="auto"/>
        <w:tabs>
          <w:tab w:leader="none" w:pos="139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Subject to the provisions of applicable law, the Company is entitled to issue for a share which was paid up in full, a share certificate in accordance with the provisions which shall be determined for this matter by the Board of Directors of the Company, and in such instance, the share shall be registered as stated in Article 130(a)(2) of the Companies Law, and the name of the shareholder shall be erased from the registry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Internal Auditor</w:t>
      </w:r>
    </w:p>
    <w:p>
      <w:pPr>
        <w:spacing w:after="0" w:line="229" w:lineRule="exact"/>
        <w:rPr>
          <w:sz w:val="20"/>
          <w:szCs w:val="20"/>
          <w:color w:val="auto"/>
        </w:rPr>
      </w:pPr>
    </w:p>
    <w:p>
      <w:pPr>
        <w:ind w:left="500" w:right="220" w:hanging="492"/>
        <w:spacing w:after="0" w:line="277" w:lineRule="auto"/>
        <w:tabs>
          <w:tab w:leader="none" w:pos="139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organizational supervisor of the internal auditor shall be the chairman of the Board of Directors, or if the Board of Directors shall determine - the CEO of the Company.</w:t>
      </w:r>
    </w:p>
    <w:p>
      <w:pPr>
        <w:spacing w:after="0" w:line="170" w:lineRule="exact"/>
        <w:rPr>
          <w:rFonts w:ascii="Arial" w:cs="Arial" w:eastAsia="Arial" w:hAnsi="Arial"/>
          <w:sz w:val="18"/>
          <w:szCs w:val="18"/>
          <w:color w:val="auto"/>
        </w:rPr>
      </w:pPr>
    </w:p>
    <w:p>
      <w:pPr>
        <w:ind w:left="500" w:right="120" w:hanging="492"/>
        <w:spacing w:after="0" w:line="277" w:lineRule="auto"/>
        <w:tabs>
          <w:tab w:leader="none" w:pos="139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Proposals for the annual work plan shall be submitted by the internal auditor for approval of the Board of Directors of the Company, or if the Board of Directors has determined, for approval of the audit committee.</w:t>
      </w:r>
    </w:p>
    <w:p>
      <w:pPr>
        <w:sectPr>
          <w:pgSz w:w="11900" w:h="16838" w:orient="portrait"/>
          <w:cols w:equalWidth="0" w:num="1">
            <w:col w:w="11240"/>
          </w:cols>
          <w:pgMar w:left="320" w:top="908"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320040</wp:posOffset>
            </wp:positionV>
            <wp:extent cx="2854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RAINSWAY</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 RESTATED</w:t>
      </w:r>
      <w:r>
        <w:rPr>
          <w:rFonts w:ascii="Arial" w:cs="Arial" w:eastAsia="Arial" w:hAnsi="Arial"/>
          <w:sz w:val="18"/>
          <w:szCs w:val="18"/>
          <w:color w:val="auto"/>
        </w:rPr>
        <w:t xml:space="preserve"> 2019 S</w:t>
      </w:r>
      <w:r>
        <w:rPr>
          <w:rFonts w:ascii="Arial" w:cs="Arial" w:eastAsia="Arial" w:hAnsi="Arial"/>
          <w:sz w:val="12"/>
          <w:szCs w:val="12"/>
          <w:color w:val="auto"/>
        </w:rPr>
        <w:t>HARE</w:t>
      </w:r>
      <w:r>
        <w:rPr>
          <w:rFonts w:ascii="Arial" w:cs="Arial" w:eastAsia="Arial" w:hAnsi="Arial"/>
          <w:sz w:val="18"/>
          <w:szCs w:val="18"/>
          <w:color w:val="auto"/>
        </w:rPr>
        <w:t xml:space="preserve"> I</w:t>
      </w:r>
      <w:r>
        <w:rPr>
          <w:rFonts w:ascii="Arial" w:cs="Arial" w:eastAsia="Arial" w:hAnsi="Arial"/>
          <w:sz w:val="12"/>
          <w:szCs w:val="12"/>
          <w:color w:val="auto"/>
        </w:rPr>
        <w:t>NCENTIVE</w:t>
      </w:r>
      <w:r>
        <w:rPr>
          <w:rFonts w:ascii="Arial" w:cs="Arial" w:eastAsia="Arial" w:hAnsi="Arial"/>
          <w:sz w:val="18"/>
          <w:szCs w:val="18"/>
          <w:color w:val="auto"/>
        </w:rPr>
        <w:t xml:space="preserve"> P</w:t>
      </w:r>
      <w:r>
        <w:rPr>
          <w:rFonts w:ascii="Arial" w:cs="Arial" w:eastAsia="Arial" w:hAnsi="Arial"/>
          <w:sz w:val="12"/>
          <w:szCs w:val="12"/>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54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defined, terms used herein shall have the meaning ascribed to them in Section 2 hereof.</w:t>
      </w:r>
    </w:p>
    <w:p>
      <w:pPr>
        <w:spacing w:after="0" w:line="225"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u w:val="single" w:color="auto"/>
          <w:color w:val="auto"/>
        </w:rPr>
        <w:t>PURPOSE; TYPES OF AWARDS; CONSTRUCTION</w:t>
      </w:r>
      <w:r>
        <w:rPr>
          <w:rFonts w:ascii="Arial" w:cs="Arial" w:eastAsia="Arial" w:hAnsi="Arial"/>
          <w:sz w:val="18"/>
          <w:szCs w:val="18"/>
          <w:color w:val="auto"/>
        </w:rPr>
        <w:t>.</w:t>
      </w:r>
    </w:p>
    <w:p>
      <w:pPr>
        <w:spacing w:after="0" w:line="221" w:lineRule="exact"/>
        <w:rPr>
          <w:sz w:val="20"/>
          <w:szCs w:val="20"/>
          <w:color w:val="auto"/>
        </w:rPr>
      </w:pPr>
    </w:p>
    <w:p>
      <w:pPr>
        <w:ind w:right="80" w:firstLine="816"/>
        <w:spacing w:after="0" w:line="29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Amended and Restated 2019 Share Incentive Plan (as amended, this “Plan”) is to afford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to Service Providers of Brainsway Ltd., an Israeli company (together with any successor corporation thereto, the “Company”), or any Affiliate of the Company, which now exists or hereafter is organized or acquired by the Company,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(“Restricted Shares”) of the Company, and by the grant of options to purchase Shares (“Options”), Restricted Share Units (“RSUs”) and other Share-based Awards pursuant to Sections 11 through 13 of this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jc w:val="right"/>
              <w:ind w:right="730"/>
              <w:spacing w:after="0"/>
              <w:rPr>
                <w:sz w:val="20"/>
                <w:szCs w:val="20"/>
                <w:color w:val="auto"/>
              </w:rPr>
            </w:pPr>
            <w:r>
              <w:rPr>
                <w:rFonts w:ascii="Arial" w:cs="Arial" w:eastAsia="Arial" w:hAnsi="Arial"/>
                <w:sz w:val="18"/>
                <w:szCs w:val="18"/>
                <w:b w:val="1"/>
                <w:bCs w:val="1"/>
                <w:color w:val="auto"/>
              </w:rPr>
              <w:t>1.2</w:t>
            </w:r>
          </w:p>
        </w:tc>
        <w:tc>
          <w:tcPr>
            <w:tcW w:w="7660" w:type="dxa"/>
            <w:vAlign w:val="bottom"/>
            <w:gridSpan w:val="2"/>
          </w:tcPr>
          <w:p>
            <w:pPr>
              <w:spacing w:after="0"/>
              <w:rPr>
                <w:sz w:val="20"/>
                <w:szCs w:val="20"/>
                <w:color w:val="auto"/>
              </w:rPr>
            </w:pPr>
            <w:r>
              <w:rPr>
                <w:rFonts w:ascii="Arial" w:cs="Arial" w:eastAsia="Arial" w:hAnsi="Arial"/>
                <w:sz w:val="18"/>
                <w:szCs w:val="18"/>
                <w:color w:val="auto"/>
                <w:w w:val="89"/>
              </w:rPr>
              <w:t>Types of Awards. This Plan is intended to enable the Company to issue Awards under various tax regimes,</w:t>
            </w:r>
          </w:p>
        </w:tc>
      </w:tr>
      <w:tr>
        <w:trPr>
          <w:trHeight w:val="237"/>
        </w:trPr>
        <w:tc>
          <w:tcPr>
            <w:tcW w:w="1860" w:type="dxa"/>
            <w:vAlign w:val="bottom"/>
          </w:tcPr>
          <w:p>
            <w:pPr>
              <w:jc w:val="right"/>
              <w:ind w:right="1030"/>
              <w:spacing w:after="0"/>
              <w:rPr>
                <w:sz w:val="20"/>
                <w:szCs w:val="20"/>
                <w:color w:val="auto"/>
              </w:rPr>
            </w:pPr>
            <w:r>
              <w:rPr>
                <w:rFonts w:ascii="Arial" w:cs="Arial" w:eastAsia="Arial" w:hAnsi="Arial"/>
                <w:sz w:val="18"/>
                <w:szCs w:val="18"/>
                <w:color w:val="auto"/>
                <w:w w:val="94"/>
              </w:rPr>
              <w:t>including:</w:t>
            </w:r>
          </w:p>
        </w:tc>
        <w:tc>
          <w:tcPr>
            <w:tcW w:w="1200" w:type="dxa"/>
            <w:vAlign w:val="bottom"/>
            <w:tcBorders>
              <w:top w:val="single" w:sz="8" w:color="auto"/>
            </w:tcBorders>
          </w:tcPr>
          <w:p>
            <w:pPr>
              <w:spacing w:after="0"/>
              <w:rPr>
                <w:sz w:val="20"/>
                <w:szCs w:val="20"/>
                <w:color w:val="auto"/>
              </w:rPr>
            </w:pPr>
          </w:p>
        </w:tc>
        <w:tc>
          <w:tcPr>
            <w:tcW w:w="6460" w:type="dxa"/>
            <w:vAlign w:val="bottom"/>
          </w:tcPr>
          <w:p>
            <w:pPr>
              <w:spacing w:after="0"/>
              <w:rPr>
                <w:sz w:val="20"/>
                <w:szCs w:val="20"/>
                <w:color w:val="auto"/>
              </w:rPr>
            </w:pPr>
          </w:p>
        </w:tc>
      </w:tr>
    </w:tbl>
    <w:p>
      <w:pPr>
        <w:spacing w:after="0" w:line="202" w:lineRule="exact"/>
        <w:rPr>
          <w:sz w:val="20"/>
          <w:szCs w:val="20"/>
          <w:color w:val="auto"/>
        </w:rPr>
      </w:pPr>
    </w:p>
    <w:p>
      <w:pPr>
        <w:ind w:left="660" w:right="80" w:firstLine="644"/>
        <w:spacing w:after="0" w:line="257" w:lineRule="auto"/>
        <w:tabs>
          <w:tab w:leader="none" w:pos="22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Israeli Income Tax Authority (the “ITA”), including the Income Tax Rules (Tax Benefits in Stock Issuance to Employees) 5763-2003 or such other rules so adopted from time to time (the “Rules”) (such Awards that are intended to be (as set forth in the Award Agreement) and which qualify as such under Section 102 of the Ordinance and the Rules, “102 Awards”);</w:t>
      </w:r>
    </w:p>
    <w:p>
      <w:pPr>
        <w:spacing w:after="0" w:line="187" w:lineRule="exact"/>
        <w:rPr>
          <w:rFonts w:ascii="Arial" w:cs="Arial" w:eastAsia="Arial" w:hAnsi="Arial"/>
          <w:sz w:val="18"/>
          <w:szCs w:val="18"/>
          <w:color w:val="auto"/>
        </w:rPr>
      </w:pPr>
    </w:p>
    <w:p>
      <w:pPr>
        <w:ind w:left="660" w:right="220" w:firstLine="644"/>
        <w:spacing w:after="0" w:line="277" w:lineRule="auto"/>
        <w:tabs>
          <w:tab w:leader="none" w:pos="224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pursuant to Section 3(9) of the Ordinance or the corresponding provision of any subsequently enacted statute, as amended from time to time (such Awards, “3(9) Awards”);</w:t>
      </w:r>
    </w:p>
    <w:p>
      <w:pPr>
        <w:spacing w:after="0" w:line="170" w:lineRule="exact"/>
        <w:rPr>
          <w:rFonts w:ascii="Arial" w:cs="Arial" w:eastAsia="Arial" w:hAnsi="Arial"/>
          <w:sz w:val="18"/>
          <w:szCs w:val="18"/>
          <w:color w:val="auto"/>
        </w:rPr>
      </w:pPr>
    </w:p>
    <w:p>
      <w:pPr>
        <w:jc w:val="both"/>
        <w:ind w:left="660" w:right="40" w:firstLine="644"/>
        <w:spacing w:after="0" w:line="279" w:lineRule="auto"/>
        <w:tabs>
          <w:tab w:leader="none" w:pos="225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(such Awards that are intended to be (as set forth in the Award Agreement) and which qualify as an incentive stock option within the meaning of Section 422(b) of the Code, “Incentive Stock Options”); and</w:t>
      </w:r>
    </w:p>
    <w:p>
      <w:pPr>
        <w:spacing w:after="0" w:line="171" w:lineRule="exact"/>
        <w:rPr>
          <w:rFonts w:ascii="Arial" w:cs="Arial" w:eastAsia="Arial" w:hAnsi="Arial"/>
          <w:sz w:val="17"/>
          <w:szCs w:val="17"/>
          <w:color w:val="auto"/>
        </w:rPr>
      </w:pPr>
    </w:p>
    <w:p>
      <w:pPr>
        <w:ind w:left="660" w:right="100" w:firstLine="644"/>
        <w:spacing w:after="0" w:line="342" w:lineRule="auto"/>
        <w:tabs>
          <w:tab w:leader="none" w:pos="224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Awards not intended to be (as set forth in the Award Agreement) or which do not qualify as an Incentive Stock Option to be granted to Service Providers who are deemed to be residents of the United States for purposes of taxation (“Nonqualified Stock Options”).</w:t>
      </w:r>
    </w:p>
    <w:p>
      <w:pPr>
        <w:spacing w:after="0" w:line="12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 respect to which the Committee is empowered to make the requisite adjustments in this Plan and set forth the relevant conditions in an appendix to this Plan or in the Company’s agreement with the Grantee in order to comply with the requirements of such other tax regimes.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3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8" w:name="page229"/>
    <w:bookmarkEnd w:id="228"/>
    <w:tbl>
      <w:tblPr>
        <w:tblLayout w:type="fixed"/>
        <w:tblInd w:w="820" w:type="dxa"/>
        <w:tblCellMar>
          <w:top w:w="0" w:type="dxa"/>
          <w:left w:w="0" w:type="dxa"/>
          <w:bottom w:w="0" w:type="dxa"/>
          <w:right w:w="0" w:type="dxa"/>
        </w:tblCellMar>
      </w:tblPr>
      <w:tr>
        <w:trPr>
          <w:trHeight w:val="207"/>
        </w:trPr>
        <w:tc>
          <w:tcPr>
            <w:tcW w:w="104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1.3</w:t>
            </w:r>
          </w:p>
        </w:tc>
        <w:tc>
          <w:tcPr>
            <w:tcW w:w="9080" w:type="dxa"/>
            <w:vAlign w:val="bottom"/>
            <w:gridSpan w:val="3"/>
          </w:tcPr>
          <w:p>
            <w:pPr>
              <w:spacing w:after="0"/>
              <w:rPr>
                <w:sz w:val="20"/>
                <w:szCs w:val="20"/>
                <w:color w:val="auto"/>
              </w:rPr>
            </w:pPr>
            <w:r>
              <w:rPr>
                <w:rFonts w:ascii="Arial" w:cs="Arial" w:eastAsia="Arial" w:hAnsi="Arial"/>
                <w:sz w:val="18"/>
                <w:szCs w:val="18"/>
                <w:color w:val="auto"/>
                <w:w w:val="93"/>
              </w:rPr>
              <w:t>Company Status. This Plan contemplates the issuance of Awards by the Company, both as a private and public company.</w:t>
            </w:r>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w w:val="79"/>
              </w:rPr>
              <w:t>1.4</w:t>
            </w: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vMerge w:val="continue"/>
          </w:tcPr>
          <w:p>
            <w:pPr>
              <w:spacing w:after="0"/>
              <w:rPr>
                <w:sz w:val="24"/>
                <w:szCs w:val="24"/>
                <w:color w:val="auto"/>
              </w:rPr>
            </w:pPr>
          </w:p>
        </w:tc>
        <w:tc>
          <w:tcPr>
            <w:tcW w:w="9080" w:type="dxa"/>
            <w:vAlign w:val="bottom"/>
            <w:gridSpan w:val="3"/>
          </w:tcPr>
          <w:p>
            <w:pPr>
              <w:spacing w:after="0"/>
              <w:rPr>
                <w:sz w:val="20"/>
                <w:szCs w:val="20"/>
                <w:color w:val="auto"/>
              </w:rPr>
            </w:pPr>
            <w:r>
              <w:rPr>
                <w:rFonts w:ascii="Arial" w:cs="Arial" w:eastAsia="Arial" w:hAnsi="Arial"/>
                <w:sz w:val="18"/>
                <w:szCs w:val="18"/>
                <w:color w:val="auto"/>
                <w:w w:val="91"/>
              </w:rPr>
              <w:t>Construction. To the extent any provision herein conflicts with the conditions of any relevant tax law, rule or regulation which</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w:t>
      </w:r>
    </w:p>
    <w:p>
      <w:pPr>
        <w:spacing w:after="0" w:line="124"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80" w:firstLine="816"/>
        <w:spacing w:after="0" w:line="26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Terms Generally</w:t>
      </w:r>
      <w:r>
        <w:rPr>
          <w:rFonts w:ascii="Arial" w:cs="Arial" w:eastAsia="Arial" w:hAnsi="Arial"/>
          <w:sz w:val="17"/>
          <w:szCs w:val="17"/>
          <w:color w:val="auto"/>
        </w:rPr>
        <w:t>. Except when otherwise indicated by the context, (i) the singular shall include the plural and the plural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2.2</w:t>
            </w:r>
          </w:p>
        </w:tc>
        <w:tc>
          <w:tcPr>
            <w:tcW w:w="560" w:type="dxa"/>
            <w:vAlign w:val="bottom"/>
          </w:tcPr>
          <w:p>
            <w:pPr>
              <w:spacing w:after="0"/>
              <w:rPr>
                <w:sz w:val="17"/>
                <w:szCs w:val="17"/>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Defined Terms. The following terms shall have the meanings ascribed to them in this Section 2:</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2.2.1</w:t>
            </w:r>
          </w:p>
        </w:tc>
        <w:tc>
          <w:tcPr>
            <w:tcW w:w="8820" w:type="dxa"/>
            <w:vAlign w:val="bottom"/>
            <w:gridSpan w:val="2"/>
          </w:tcPr>
          <w:p>
            <w:pPr>
              <w:ind w:left="360"/>
              <w:spacing w:after="0"/>
              <w:rPr>
                <w:sz w:val="20"/>
                <w:szCs w:val="20"/>
                <w:color w:val="auto"/>
              </w:rPr>
            </w:pPr>
            <w:r>
              <w:rPr>
                <w:rFonts w:ascii="Arial" w:cs="Arial" w:eastAsia="Arial" w:hAnsi="Arial"/>
                <w:sz w:val="18"/>
                <w:szCs w:val="18"/>
                <w:color w:val="auto"/>
                <w:w w:val="92"/>
              </w:rPr>
              <w:t>“Affiliate” shall mean, (i) with respect to any person, any other person that, directly or indirectly through one or more</w:t>
            </w:r>
          </w:p>
        </w:tc>
      </w:tr>
    </w:tbl>
    <w:p>
      <w:pPr>
        <w:ind w:right="180"/>
        <w:spacing w:after="0" w:line="277" w:lineRule="auto"/>
        <w:rPr>
          <w:sz w:val="20"/>
          <w:szCs w:val="20"/>
          <w:color w:val="auto"/>
        </w:rPr>
      </w:pPr>
      <w:r>
        <w:rPr>
          <w:rFonts w:ascii="Arial" w:cs="Arial" w:eastAsia="Arial" w:hAnsi="Arial"/>
          <w:sz w:val="17"/>
          <w:szCs w:val="17"/>
          <w:color w:val="auto"/>
        </w:rPr>
        <w:t>intermediaries, controls, is controlled by, or is under common control with, such person (with the term “control” or “controlled by” within the meaning of Rule 405 of Regulation C under the Securities Act), including, without limitation, any Parent or Subsidiary, or (ii) for the purpose of 102 Awards, “Affiliate” shall only mean an “employing company” within the meaning and subject to the conditions of Section 102(a) of the Ordinance.</w:t>
      </w:r>
    </w:p>
    <w:p>
      <w:pPr>
        <w:spacing w:after="0" w:line="169" w:lineRule="exact"/>
        <w:rPr>
          <w:sz w:val="20"/>
          <w:szCs w:val="20"/>
          <w:color w:val="auto"/>
        </w:rPr>
      </w:pPr>
    </w:p>
    <w:p>
      <w:pPr>
        <w:ind w:right="60" w:firstLine="1531"/>
        <w:spacing w:after="0" w:line="289"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“Applicable Law” shall mean any applicable law, rule, regulation, statute, pronouncement, policy, 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2.2.3</w:t>
            </w:r>
          </w:p>
        </w:tc>
        <w:tc>
          <w:tcPr>
            <w:tcW w:w="8980" w:type="dxa"/>
            <w:vAlign w:val="bottom"/>
          </w:tcPr>
          <w:p>
            <w:pPr>
              <w:jc w:val="right"/>
              <w:ind w:right="370"/>
              <w:spacing w:after="0"/>
              <w:rPr>
                <w:sz w:val="20"/>
                <w:szCs w:val="20"/>
                <w:color w:val="auto"/>
              </w:rPr>
            </w:pPr>
            <w:r>
              <w:rPr>
                <w:rFonts w:ascii="Arial" w:cs="Arial" w:eastAsia="Arial" w:hAnsi="Arial"/>
                <w:sz w:val="18"/>
                <w:szCs w:val="18"/>
                <w:color w:val="auto"/>
                <w:w w:val="93"/>
              </w:rPr>
              <w:t>“Award” shall mean any Option, Restricted Share, RSUs or any other Share-based award granted under this Plan.</w:t>
            </w:r>
          </w:p>
        </w:tc>
      </w:tr>
      <w:tr>
        <w:trPr>
          <w:trHeight w:val="540"/>
        </w:trPr>
        <w:tc>
          <w:tcPr>
            <w:tcW w:w="2260" w:type="dxa"/>
            <w:vAlign w:val="bottom"/>
          </w:tcPr>
          <w:p>
            <w:pPr>
              <w:spacing w:after="0"/>
              <w:rPr>
                <w:sz w:val="24"/>
                <w:szCs w:val="24"/>
                <w:color w:val="auto"/>
              </w:rPr>
            </w:pPr>
          </w:p>
        </w:tc>
        <w:tc>
          <w:tcPr>
            <w:tcW w:w="8980" w:type="dxa"/>
            <w:vAlign w:val="bottom"/>
          </w:tcPr>
          <w:p>
            <w:pPr>
              <w:jc w:val="right"/>
              <w:ind w:right="5370"/>
              <w:spacing w:after="0"/>
              <w:rPr>
                <w:sz w:val="20"/>
                <w:szCs w:val="20"/>
                <w:color w:val="auto"/>
              </w:rPr>
            </w:pPr>
            <w:r>
              <w:rPr>
                <w:rFonts w:ascii="Arial" w:cs="Arial" w:eastAsia="Arial" w:hAnsi="Arial"/>
                <w:sz w:val="18"/>
                <w:szCs w:val="18"/>
                <w:color w:val="auto"/>
              </w:rPr>
              <w:t>- 2 -</w:t>
            </w:r>
          </w:p>
        </w:tc>
      </w:tr>
      <w:tr>
        <w:trPr>
          <w:trHeight w:val="108"/>
        </w:trPr>
        <w:tc>
          <w:tcPr>
            <w:tcW w:w="2260" w:type="dxa"/>
            <w:vAlign w:val="bottom"/>
          </w:tcPr>
          <w:p>
            <w:pPr>
              <w:spacing w:after="0"/>
              <w:rPr>
                <w:sz w:val="9"/>
                <w:szCs w:val="9"/>
                <w:color w:val="auto"/>
              </w:rPr>
            </w:pPr>
          </w:p>
        </w:tc>
        <w:tc>
          <w:tcPr>
            <w:tcW w:w="8980" w:type="dxa"/>
            <w:vAlign w:val="bottom"/>
          </w:tcPr>
          <w:p>
            <w:pPr>
              <w:spacing w:after="0"/>
              <w:rPr>
                <w:sz w:val="9"/>
                <w:szCs w:val="9"/>
                <w:color w:val="auto"/>
              </w:rPr>
            </w:pPr>
          </w:p>
        </w:tc>
      </w:tr>
      <w:tr>
        <w:trPr>
          <w:trHeight w:val="68"/>
        </w:trPr>
        <w:tc>
          <w:tcPr>
            <w:tcW w:w="2260" w:type="dxa"/>
            <w:vAlign w:val="bottom"/>
            <w:shd w:val="clear" w:color="auto" w:fill="000000"/>
          </w:tcPr>
          <w:p>
            <w:pPr>
              <w:spacing w:after="0"/>
              <w:rPr>
                <w:sz w:val="5"/>
                <w:szCs w:val="5"/>
                <w:color w:val="auto"/>
              </w:rPr>
            </w:pPr>
          </w:p>
        </w:tc>
        <w:tc>
          <w:tcPr>
            <w:tcW w:w="89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67" w:right="33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2.2.4</w:t>
            </w:r>
          </w:p>
        </w:tc>
        <w:tc>
          <w:tcPr>
            <w:tcW w:w="8700" w:type="dxa"/>
            <w:vAlign w:val="bottom"/>
          </w:tcPr>
          <w:p>
            <w:pPr>
              <w:ind w:left="200"/>
              <w:spacing w:after="0"/>
              <w:rPr>
                <w:sz w:val="20"/>
                <w:szCs w:val="20"/>
                <w:color w:val="auto"/>
              </w:rPr>
            </w:pPr>
            <w:r>
              <w:rPr>
                <w:rFonts w:ascii="Arial" w:cs="Arial" w:eastAsia="Arial" w:hAnsi="Arial"/>
                <w:sz w:val="18"/>
                <w:szCs w:val="18"/>
                <w:color w:val="auto"/>
              </w:rPr>
              <w:t>“Board” shall mean the Board of Directors of the Company.</w:t>
            </w:r>
          </w:p>
        </w:tc>
      </w:tr>
      <w:tr>
        <w:trPr>
          <w:trHeight w:val="418"/>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2.2.5</w:t>
            </w:r>
          </w:p>
        </w:tc>
        <w:tc>
          <w:tcPr>
            <w:tcW w:w="8700" w:type="dxa"/>
            <w:vAlign w:val="bottom"/>
          </w:tcPr>
          <w:p>
            <w:pPr>
              <w:ind w:left="200"/>
              <w:spacing w:after="0"/>
              <w:rPr>
                <w:sz w:val="20"/>
                <w:szCs w:val="20"/>
                <w:color w:val="auto"/>
              </w:rPr>
            </w:pPr>
            <w:r>
              <w:rPr>
                <w:rFonts w:ascii="Arial" w:cs="Arial" w:eastAsia="Arial" w:hAnsi="Arial"/>
                <w:sz w:val="18"/>
                <w:szCs w:val="18"/>
                <w:color w:val="auto"/>
                <w:w w:val="93"/>
              </w:rPr>
              <w:t>“Code” shall mean the United States Internal Revenue Code of 1986, and any applicable regulations promulgated</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thereunder, all as amended.</w:t>
            </w:r>
          </w:p>
        </w:tc>
        <w:tc>
          <w:tcPr>
            <w:tcW w:w="8700" w:type="dxa"/>
            <w:vAlign w:val="bottom"/>
          </w:tcPr>
          <w:p>
            <w:pPr>
              <w:spacing w:after="0"/>
              <w:rPr>
                <w:sz w:val="20"/>
                <w:szCs w:val="20"/>
                <w:color w:val="auto"/>
              </w:rPr>
            </w:pPr>
          </w:p>
        </w:tc>
      </w:tr>
      <w:tr>
        <w:trPr>
          <w:trHeight w:val="418"/>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2.2.6</w:t>
            </w:r>
          </w:p>
        </w:tc>
        <w:tc>
          <w:tcPr>
            <w:tcW w:w="8700" w:type="dxa"/>
            <w:vAlign w:val="bottom"/>
          </w:tcPr>
          <w:p>
            <w:pPr>
              <w:ind w:left="200"/>
              <w:spacing w:after="0"/>
              <w:rPr>
                <w:sz w:val="20"/>
                <w:szCs w:val="20"/>
                <w:color w:val="auto"/>
              </w:rPr>
            </w:pPr>
            <w:r>
              <w:rPr>
                <w:rFonts w:ascii="Arial" w:cs="Arial" w:eastAsia="Arial" w:hAnsi="Arial"/>
                <w:sz w:val="18"/>
                <w:szCs w:val="18"/>
                <w:color w:val="auto"/>
                <w:w w:val="90"/>
              </w:rPr>
              <w:t>“Committee” shall mean a committee established or appointed by the Board to administer this Plan, subject to Section</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3.1.</w:t>
            </w:r>
          </w:p>
        </w:tc>
        <w:tc>
          <w:tcPr>
            <w:tcW w:w="8700" w:type="dxa"/>
            <w:vAlign w:val="bottom"/>
          </w:tcPr>
          <w:p>
            <w:pPr>
              <w:spacing w:after="0"/>
              <w:rPr>
                <w:sz w:val="20"/>
                <w:szCs w:val="20"/>
                <w:color w:val="auto"/>
              </w:rPr>
            </w:pPr>
          </w:p>
        </w:tc>
      </w:tr>
      <w:tr>
        <w:trPr>
          <w:trHeight w:val="418"/>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2.2.7</w:t>
            </w: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“Companies Law” shall mean the Israel Companies Law, 5759-1999, and the regulations promulgated thereunder, all</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8"/>
              </w:rPr>
              <w:t>as amended from time to time.</w:t>
            </w:r>
          </w:p>
        </w:tc>
        <w:tc>
          <w:tcPr>
            <w:tcW w:w="8700" w:type="dxa"/>
            <w:vAlign w:val="bottom"/>
          </w:tcPr>
          <w:p>
            <w:pPr>
              <w:spacing w:after="0"/>
              <w:rPr>
                <w:sz w:val="20"/>
                <w:szCs w:val="20"/>
                <w:color w:val="auto"/>
              </w:rPr>
            </w:pPr>
          </w:p>
        </w:tc>
      </w:tr>
      <w:tr>
        <w:trPr>
          <w:trHeight w:val="432"/>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2.2.8</w:t>
            </w:r>
          </w:p>
        </w:tc>
        <w:tc>
          <w:tcPr>
            <w:tcW w:w="8700" w:type="dxa"/>
            <w:vAlign w:val="bottom"/>
          </w:tcPr>
          <w:p>
            <w:pPr>
              <w:ind w:left="200"/>
              <w:spacing w:after="0"/>
              <w:rPr>
                <w:sz w:val="20"/>
                <w:szCs w:val="20"/>
                <w:color w:val="auto"/>
              </w:rPr>
            </w:pPr>
            <w:r>
              <w:rPr>
                <w:rFonts w:ascii="Arial" w:cs="Arial" w:eastAsia="Arial" w:hAnsi="Arial"/>
                <w:sz w:val="18"/>
                <w:szCs w:val="18"/>
                <w:color w:val="auto"/>
              </w:rPr>
              <w:t>“Controlling Shareholder” shall have the meaning set forth in Section 32(9) of the Ordinance.</w:t>
            </w:r>
          </w:p>
        </w:tc>
      </w:tr>
      <w:tr>
        <w:trPr>
          <w:trHeight w:val="432"/>
        </w:trPr>
        <w:tc>
          <w:tcPr>
            <w:tcW w:w="2420" w:type="dxa"/>
            <w:vAlign w:val="bottom"/>
          </w:tcPr>
          <w:p>
            <w:pPr>
              <w:jc w:val="right"/>
              <w:ind w:right="430"/>
              <w:spacing w:after="0"/>
              <w:rPr>
                <w:sz w:val="20"/>
                <w:szCs w:val="20"/>
                <w:color w:val="auto"/>
              </w:rPr>
            </w:pPr>
            <w:r>
              <w:rPr>
                <w:rFonts w:ascii="Arial" w:cs="Arial" w:eastAsia="Arial" w:hAnsi="Arial"/>
                <w:sz w:val="18"/>
                <w:szCs w:val="18"/>
                <w:b w:val="1"/>
                <w:bCs w:val="1"/>
                <w:color w:val="auto"/>
              </w:rPr>
              <w:t>2.2.9</w:t>
            </w:r>
          </w:p>
        </w:tc>
        <w:tc>
          <w:tcPr>
            <w:tcW w:w="8700" w:type="dxa"/>
            <w:vAlign w:val="bottom"/>
          </w:tcPr>
          <w:p>
            <w:pPr>
              <w:ind w:left="200"/>
              <w:spacing w:after="0"/>
              <w:rPr>
                <w:sz w:val="20"/>
                <w:szCs w:val="20"/>
                <w:color w:val="auto"/>
              </w:rPr>
            </w:pPr>
            <w:r>
              <w:rPr>
                <w:rFonts w:ascii="Arial" w:cs="Arial" w:eastAsia="Arial" w:hAnsi="Arial"/>
                <w:sz w:val="18"/>
                <w:szCs w:val="18"/>
                <w:color w:val="auto"/>
                <w:w w:val="96"/>
              </w:rPr>
              <w:t>“Disability” shall mean (i) the inability of a Grantee to engage in any substantial gainful activity or to perform the</w:t>
            </w:r>
          </w:p>
        </w:tc>
      </w:tr>
    </w:tbl>
    <w:p>
      <w:pPr>
        <w:ind w:right="60"/>
        <w:spacing w:after="0" w:line="253" w:lineRule="auto"/>
        <w:rPr>
          <w:sz w:val="20"/>
          <w:szCs w:val="20"/>
          <w:color w:val="auto"/>
        </w:rPr>
      </w:pPr>
      <w:r>
        <w:rPr>
          <w:rFonts w:ascii="Arial" w:cs="Arial" w:eastAsia="Arial" w:hAnsi="Arial"/>
          <w:sz w:val="18"/>
          <w:szCs w:val="18"/>
          <w:color w:val="auto"/>
        </w:rPr>
        <w:t>major duties of the Grantee’s position with the Company or its Affiliates by reason of any medically determinable physical or mental impairment, as determined by a qualified doctor acceptable to the Company, (ii) if applicable, a “permanent and total disability” as defined in Section 22(e)(3) of the Code or Section 409A(a)(2)(c)(i) of the Code, as amended from time to time, or (iii) as defined in a policy of the Company that the Committee deems applicable to this Plan, or that makes reference to this Plan, for purposes of this definition.</w:t>
      </w:r>
    </w:p>
    <w:p>
      <w:pPr>
        <w:spacing w:after="0" w:line="189" w:lineRule="exact"/>
        <w:rPr>
          <w:sz w:val="20"/>
          <w:szCs w:val="20"/>
          <w:color w:val="auto"/>
        </w:rPr>
      </w:pPr>
    </w:p>
    <w:p>
      <w:pPr>
        <w:ind w:right="80" w:firstLine="1531"/>
        <w:spacing w:after="0" w:line="254" w:lineRule="auto"/>
        <w:rPr>
          <w:sz w:val="20"/>
          <w:szCs w:val="20"/>
          <w:color w:val="auto"/>
        </w:rPr>
      </w:pPr>
      <w:r>
        <w:rPr>
          <w:rFonts w:ascii="Arial" w:cs="Arial" w:eastAsia="Arial" w:hAnsi="Arial"/>
          <w:sz w:val="18"/>
          <w:szCs w:val="18"/>
          <w:b w:val="1"/>
          <w:bCs w:val="1"/>
          <w:color w:val="auto"/>
        </w:rPr>
        <w:t xml:space="preserve">2.2.10 </w:t>
      </w:r>
      <w:r>
        <w:rPr>
          <w:rFonts w:ascii="Arial" w:cs="Arial" w:eastAsia="Arial" w:hAnsi="Arial"/>
          <w:sz w:val="18"/>
          <w:szCs w:val="18"/>
          <w:color w:val="auto"/>
        </w:rPr>
        <w:t>“Employee” shall mean any person treated as an employee (including an officer or a director who is also treated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 the records of the Company or any of its Affiliates (and in the case of 102 Awards, subject to Section 9.3 or in the case of Incentive Stock Options, who is an employee for purposes of Section 422 of the Code); provided, however,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ind w:left="1540"/>
              <w:spacing w:after="0"/>
              <w:rPr>
                <w:sz w:val="20"/>
                <w:szCs w:val="20"/>
                <w:color w:val="auto"/>
              </w:rPr>
            </w:pPr>
            <w:r>
              <w:rPr>
                <w:rFonts w:ascii="Arial" w:cs="Arial" w:eastAsia="Arial" w:hAnsi="Arial"/>
                <w:sz w:val="18"/>
                <w:szCs w:val="18"/>
                <w:b w:val="1"/>
                <w:bCs w:val="1"/>
                <w:color w:val="auto"/>
              </w:rPr>
              <w:t>2.2.11</w:t>
            </w:r>
          </w:p>
        </w:tc>
        <w:tc>
          <w:tcPr>
            <w:tcW w:w="8800" w:type="dxa"/>
            <w:vAlign w:val="bottom"/>
          </w:tcPr>
          <w:p>
            <w:pPr>
              <w:ind w:left="340"/>
              <w:spacing w:after="0"/>
              <w:rPr>
                <w:sz w:val="20"/>
                <w:szCs w:val="20"/>
                <w:color w:val="auto"/>
              </w:rPr>
            </w:pPr>
            <w:r>
              <w:rPr>
                <w:rFonts w:ascii="Arial" w:cs="Arial" w:eastAsia="Arial" w:hAnsi="Arial"/>
                <w:sz w:val="18"/>
                <w:szCs w:val="18"/>
                <w:color w:val="auto"/>
                <w:w w:val="92"/>
              </w:rPr>
              <w:t>“employment”, “employed” and words of similar import shall be deemed to refer to the employment of Employees or</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to the services of any other Service Provider, as the case may be.</w:t>
            </w:r>
          </w:p>
        </w:tc>
      </w:tr>
      <w:tr>
        <w:trPr>
          <w:trHeight w:val="432"/>
        </w:trPr>
        <w:tc>
          <w:tcPr>
            <w:tcW w:w="2320" w:type="dxa"/>
            <w:vAlign w:val="bottom"/>
          </w:tcPr>
          <w:p>
            <w:pPr>
              <w:ind w:left="1540"/>
              <w:spacing w:after="0"/>
              <w:rPr>
                <w:sz w:val="20"/>
                <w:szCs w:val="20"/>
                <w:color w:val="auto"/>
              </w:rPr>
            </w:pPr>
            <w:r>
              <w:rPr>
                <w:rFonts w:ascii="Arial" w:cs="Arial" w:eastAsia="Arial" w:hAnsi="Arial"/>
                <w:sz w:val="18"/>
                <w:szCs w:val="18"/>
                <w:b w:val="1"/>
                <w:bCs w:val="1"/>
                <w:color w:val="auto"/>
              </w:rPr>
              <w:t>2.2.12</w:t>
            </w:r>
          </w:p>
        </w:tc>
        <w:tc>
          <w:tcPr>
            <w:tcW w:w="8800" w:type="dxa"/>
            <w:vAlign w:val="bottom"/>
          </w:tcPr>
          <w:p>
            <w:pPr>
              <w:ind w:left="340"/>
              <w:spacing w:after="0"/>
              <w:rPr>
                <w:sz w:val="20"/>
                <w:szCs w:val="20"/>
                <w:color w:val="auto"/>
              </w:rPr>
            </w:pPr>
            <w:r>
              <w:rPr>
                <w:rFonts w:ascii="Arial" w:cs="Arial" w:eastAsia="Arial" w:hAnsi="Arial"/>
                <w:sz w:val="18"/>
                <w:szCs w:val="18"/>
                <w:color w:val="auto"/>
                <w:w w:val="92"/>
              </w:rPr>
              <w:t>“exercise” “exercised” and words of similar import, when referring to an Award that does not require exercise or that</w:t>
            </w:r>
          </w:p>
        </w:tc>
      </w:tr>
    </w:tbl>
    <w:p>
      <w:pPr>
        <w:jc w:val="both"/>
        <w:ind w:right="140"/>
        <w:spacing w:after="0" w:line="260" w:lineRule="auto"/>
        <w:rPr>
          <w:sz w:val="20"/>
          <w:szCs w:val="20"/>
          <w:color w:val="auto"/>
        </w:rPr>
      </w:pPr>
      <w:r>
        <w:rPr>
          <w:rFonts w:ascii="Arial" w:cs="Arial" w:eastAsia="Arial" w:hAnsi="Arial"/>
          <w:sz w:val="18"/>
          <w:szCs w:val="18"/>
          <w:color w:val="auto"/>
        </w:rPr>
        <w:t>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181" w:lineRule="exact"/>
        <w:rPr>
          <w:sz w:val="20"/>
          <w:szCs w:val="20"/>
          <w:color w:val="auto"/>
        </w:rPr>
      </w:pPr>
    </w:p>
    <w:p>
      <w:pPr>
        <w:jc w:val="both"/>
        <w:ind w:right="140" w:firstLine="1531"/>
        <w:spacing w:after="0" w:line="312" w:lineRule="auto"/>
        <w:rPr>
          <w:sz w:val="20"/>
          <w:szCs w:val="20"/>
          <w:color w:val="auto"/>
        </w:rPr>
      </w:pPr>
      <w:r>
        <w:rPr>
          <w:rFonts w:ascii="Arial" w:cs="Arial" w:eastAsia="Arial" w:hAnsi="Arial"/>
          <w:sz w:val="17"/>
          <w:szCs w:val="17"/>
          <w:b w:val="1"/>
          <w:bCs w:val="1"/>
          <w:color w:val="auto"/>
        </w:rPr>
        <w:t xml:space="preserve">2.2.13 </w:t>
      </w:r>
      <w:r>
        <w:rPr>
          <w:rFonts w:ascii="Arial" w:cs="Arial" w:eastAsia="Arial" w:hAnsi="Arial"/>
          <w:sz w:val="17"/>
          <w:szCs w:val="17"/>
          <w:color w:val="auto"/>
        </w:rPr>
        <w:t>“Exercise Period” shall mean the period, commencing on the date of grant of an Award, during which an Award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exercisable, subject to any vesting provisions thereof (including any acceleration thereof, if any) and subject to the termination provisions hereof.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Pr>
          <w:p>
            <w:pPr>
              <w:jc w:val="right"/>
              <w:ind w:right="530"/>
              <w:spacing w:after="0"/>
              <w:rPr>
                <w:sz w:val="20"/>
                <w:szCs w:val="20"/>
                <w:color w:val="auto"/>
              </w:rPr>
            </w:pPr>
            <w:r>
              <w:rPr>
                <w:rFonts w:ascii="Arial" w:cs="Arial" w:eastAsia="Arial" w:hAnsi="Arial"/>
                <w:sz w:val="18"/>
                <w:szCs w:val="18"/>
                <w:b w:val="1"/>
                <w:bCs w:val="1"/>
                <w:color w:val="auto"/>
              </w:rPr>
              <w:t>2.2.14</w:t>
            </w:r>
          </w:p>
        </w:tc>
        <w:tc>
          <w:tcPr>
            <w:tcW w:w="8640" w:type="dxa"/>
            <w:vAlign w:val="bottom"/>
          </w:tcPr>
          <w:p>
            <w:pPr>
              <w:jc w:val="right"/>
              <w:ind w:right="310"/>
              <w:spacing w:after="0"/>
              <w:rPr>
                <w:sz w:val="20"/>
                <w:szCs w:val="20"/>
                <w:color w:val="auto"/>
              </w:rPr>
            </w:pPr>
            <w:r>
              <w:rPr>
                <w:rFonts w:ascii="Arial" w:cs="Arial" w:eastAsia="Arial" w:hAnsi="Arial"/>
                <w:sz w:val="18"/>
                <w:szCs w:val="18"/>
                <w:color w:val="auto"/>
                <w:w w:val="90"/>
              </w:rPr>
              <w:t>“Exercise Price” shall mean the exercise price for each Share covered by an Option or the purchase price for each</w:t>
            </w:r>
          </w:p>
        </w:tc>
      </w:tr>
      <w:tr>
        <w:trPr>
          <w:trHeight w:val="230"/>
        </w:trPr>
        <w:tc>
          <w:tcPr>
            <w:tcW w:w="2600" w:type="dxa"/>
            <w:vAlign w:val="bottom"/>
          </w:tcPr>
          <w:p>
            <w:pPr>
              <w:jc w:val="right"/>
              <w:spacing w:after="0"/>
              <w:rPr>
                <w:sz w:val="20"/>
                <w:szCs w:val="20"/>
                <w:color w:val="auto"/>
              </w:rPr>
            </w:pPr>
            <w:r>
              <w:rPr>
                <w:rFonts w:ascii="Arial" w:cs="Arial" w:eastAsia="Arial" w:hAnsi="Arial"/>
                <w:sz w:val="18"/>
                <w:szCs w:val="18"/>
                <w:color w:val="auto"/>
                <w:w w:val="89"/>
              </w:rPr>
              <w:t>Share covered by any other Award.</w:t>
            </w:r>
          </w:p>
        </w:tc>
        <w:tc>
          <w:tcPr>
            <w:tcW w:w="8640" w:type="dxa"/>
            <w:vAlign w:val="bottom"/>
          </w:tcPr>
          <w:p>
            <w:pPr>
              <w:spacing w:after="0"/>
              <w:rPr>
                <w:sz w:val="20"/>
                <w:szCs w:val="20"/>
                <w:color w:val="auto"/>
              </w:rPr>
            </w:pPr>
          </w:p>
        </w:tc>
      </w:tr>
      <w:tr>
        <w:trPr>
          <w:trHeight w:val="540"/>
        </w:trPr>
        <w:tc>
          <w:tcPr>
            <w:tcW w:w="2600" w:type="dxa"/>
            <w:vAlign w:val="bottom"/>
          </w:tcPr>
          <w:p>
            <w:pPr>
              <w:spacing w:after="0"/>
              <w:rPr>
                <w:sz w:val="24"/>
                <w:szCs w:val="24"/>
                <w:color w:val="auto"/>
              </w:rPr>
            </w:pPr>
          </w:p>
        </w:tc>
        <w:tc>
          <w:tcPr>
            <w:tcW w:w="8640" w:type="dxa"/>
            <w:vAlign w:val="bottom"/>
          </w:tcPr>
          <w:p>
            <w:pPr>
              <w:jc w:val="right"/>
              <w:ind w:right="5370"/>
              <w:spacing w:after="0"/>
              <w:rPr>
                <w:sz w:val="20"/>
                <w:szCs w:val="20"/>
                <w:color w:val="auto"/>
              </w:rPr>
            </w:pPr>
            <w:r>
              <w:rPr>
                <w:rFonts w:ascii="Arial" w:cs="Arial" w:eastAsia="Arial" w:hAnsi="Arial"/>
                <w:sz w:val="18"/>
                <w:szCs w:val="18"/>
                <w:color w:val="auto"/>
              </w:rPr>
              <w:t>- 3 -</w:t>
            </w:r>
          </w:p>
        </w:tc>
      </w:tr>
      <w:tr>
        <w:trPr>
          <w:trHeight w:val="108"/>
        </w:trPr>
        <w:tc>
          <w:tcPr>
            <w:tcW w:w="2600" w:type="dxa"/>
            <w:vAlign w:val="bottom"/>
          </w:tcPr>
          <w:p>
            <w:pPr>
              <w:spacing w:after="0"/>
              <w:rPr>
                <w:sz w:val="9"/>
                <w:szCs w:val="9"/>
                <w:color w:val="auto"/>
              </w:rPr>
            </w:pPr>
          </w:p>
        </w:tc>
        <w:tc>
          <w:tcPr>
            <w:tcW w:w="8640" w:type="dxa"/>
            <w:vAlign w:val="bottom"/>
          </w:tcPr>
          <w:p>
            <w:pPr>
              <w:spacing w:after="0"/>
              <w:rPr>
                <w:sz w:val="9"/>
                <w:szCs w:val="9"/>
                <w:color w:val="auto"/>
              </w:rPr>
            </w:pPr>
          </w:p>
        </w:tc>
      </w:tr>
      <w:tr>
        <w:trPr>
          <w:trHeight w:val="68"/>
        </w:trPr>
        <w:tc>
          <w:tcPr>
            <w:tcW w:w="2600" w:type="dxa"/>
            <w:vAlign w:val="bottom"/>
            <w:shd w:val="clear" w:color="auto" w:fill="000000"/>
          </w:tcPr>
          <w:p>
            <w:pPr>
              <w:spacing w:after="0"/>
              <w:rPr>
                <w:sz w:val="5"/>
                <w:szCs w:val="5"/>
                <w:color w:val="auto"/>
              </w:rPr>
            </w:pPr>
          </w:p>
        </w:tc>
        <w:tc>
          <w:tcPr>
            <w:tcW w:w="86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230" w:name="page231"/>
    <w:bookmarkEnd w:id="230"/>
    <w:p>
      <w:pPr>
        <w:ind w:firstLine="1531"/>
        <w:spacing w:after="0" w:line="286" w:lineRule="auto"/>
        <w:rPr>
          <w:sz w:val="20"/>
          <w:szCs w:val="20"/>
          <w:color w:val="auto"/>
        </w:rPr>
      </w:pPr>
      <w:r>
        <w:rPr>
          <w:rFonts w:ascii="Arial" w:cs="Arial" w:eastAsia="Arial" w:hAnsi="Arial"/>
          <w:sz w:val="16"/>
          <w:szCs w:val="16"/>
          <w:b w:val="1"/>
          <w:bCs w:val="1"/>
          <w:color w:val="auto"/>
        </w:rPr>
        <w:t xml:space="preserve">2.2.15 </w:t>
      </w:r>
      <w:r>
        <w:rPr>
          <w:rFonts w:ascii="Arial" w:cs="Arial" w:eastAsia="Arial" w:hAnsi="Arial"/>
          <w:sz w:val="16"/>
          <w:szCs w:val="16"/>
          <w:color w:val="auto"/>
        </w:rPr>
        <w:t>“Fair Market Value” shall mean, as of any date, the value of a Share or other property as determined by the Board, in</w:t>
      </w:r>
      <w:r>
        <w:rPr>
          <w:rFonts w:ascii="Arial" w:cs="Arial" w:eastAsia="Arial" w:hAnsi="Arial"/>
          <w:sz w:val="16"/>
          <w:szCs w:val="16"/>
          <w:b w:val="1"/>
          <w:bCs w:val="1"/>
          <w:color w:val="auto"/>
        </w:rPr>
        <w:t xml:space="preserve"> </w:t>
      </w:r>
      <w:r>
        <w:rPr>
          <w:rFonts w:ascii="Arial" w:cs="Arial" w:eastAsia="Arial" w:hAnsi="Arial"/>
          <w:sz w:val="16"/>
          <w:szCs w:val="16"/>
          <w:color w:val="auto"/>
        </w:rPr>
        <w:t>its discretion, subject to the following: (i) if, on such date, the Shares are listed on any securities exchange, the average closing sales price per Share on which the Shares are principally traded over the thirty (30) day calendar period preceding the subject date (utilizing all trading days during such 30 calendar day period), as reported in The Wall Street Journal or such other source as the Company deems reliable; (ii) if, on such date, the Shares are then quoted in an over-the-counter market, the average of the closing bid and asked prices for the Shares in that market during the thirty (30) day calendar period preceding the subject date (utilizing all trading days during such 30 calendar day period), as reported in The Wall Street Journal or such other source as the Company deems reliable; (iii) if, on such date, the Shares are not then listed on a securities exchange or quoted in an over-the-counter market, or in case of any other property,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provided, however, that, if applicable, the Fair Market Value of the Shares shall be determined in a manner that satisfies the applicable requirements of and subject to Section 409A of the Code, and with respect to Incentive Stock Options, in a manner that satisfies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2.2.16</w:t>
            </w:r>
          </w:p>
        </w:tc>
        <w:tc>
          <w:tcPr>
            <w:tcW w:w="8480" w:type="dxa"/>
            <w:vAlign w:val="bottom"/>
          </w:tcPr>
          <w:p>
            <w:pPr>
              <w:ind w:left="340"/>
              <w:spacing w:after="0"/>
              <w:rPr>
                <w:sz w:val="20"/>
                <w:szCs w:val="20"/>
                <w:color w:val="auto"/>
              </w:rPr>
            </w:pPr>
            <w:r>
              <w:rPr>
                <w:rFonts w:ascii="Arial" w:cs="Arial" w:eastAsia="Arial" w:hAnsi="Arial"/>
                <w:sz w:val="18"/>
                <w:szCs w:val="18"/>
                <w:color w:val="auto"/>
              </w:rPr>
              <w:t>“Grantee” shall mean a person who has been granted an Award(s) under this Plan.</w:t>
            </w:r>
          </w:p>
        </w:tc>
      </w:tr>
      <w:tr>
        <w:trPr>
          <w:trHeight w:val="418"/>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2.2.17</w:t>
            </w:r>
          </w:p>
        </w:tc>
        <w:tc>
          <w:tcPr>
            <w:tcW w:w="8480" w:type="dxa"/>
            <w:vAlign w:val="bottom"/>
          </w:tcPr>
          <w:p>
            <w:pPr>
              <w:ind w:left="340"/>
              <w:spacing w:after="0"/>
              <w:rPr>
                <w:sz w:val="20"/>
                <w:szCs w:val="20"/>
                <w:color w:val="auto"/>
              </w:rPr>
            </w:pPr>
            <w:r>
              <w:rPr>
                <w:rFonts w:ascii="Arial" w:cs="Arial" w:eastAsia="Arial" w:hAnsi="Arial"/>
                <w:sz w:val="18"/>
                <w:szCs w:val="18"/>
                <w:color w:val="auto"/>
                <w:w w:val="94"/>
              </w:rPr>
              <w:t>“Ordinance” shall mean the Israeli Income Tax Ordinance (New Version) 1961, and the regulations and rules</w:t>
            </w:r>
          </w:p>
        </w:tc>
      </w:tr>
      <w:tr>
        <w:trPr>
          <w:trHeight w:val="230"/>
        </w:trPr>
        <w:tc>
          <w:tcPr>
            <w:tcW w:w="10800" w:type="dxa"/>
            <w:vAlign w:val="bottom"/>
            <w:gridSpan w:val="2"/>
          </w:tcPr>
          <w:p>
            <w:pPr>
              <w:spacing w:after="0"/>
              <w:rPr>
                <w:sz w:val="20"/>
                <w:szCs w:val="20"/>
                <w:color w:val="auto"/>
              </w:rPr>
            </w:pPr>
            <w:r>
              <w:rPr>
                <w:rFonts w:ascii="Arial" w:cs="Arial" w:eastAsia="Arial" w:hAnsi="Arial"/>
                <w:sz w:val="18"/>
                <w:szCs w:val="18"/>
                <w:color w:val="auto"/>
              </w:rPr>
              <w:t>(including the Rules) promulgated thereunder, all as amended from time to time.</w:t>
            </w:r>
          </w:p>
        </w:tc>
      </w:tr>
      <w:tr>
        <w:trPr>
          <w:trHeight w:val="432"/>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2.2.18</w:t>
            </w:r>
          </w:p>
        </w:tc>
        <w:tc>
          <w:tcPr>
            <w:tcW w:w="8480" w:type="dxa"/>
            <w:vAlign w:val="bottom"/>
          </w:tcPr>
          <w:p>
            <w:pPr>
              <w:ind w:left="340"/>
              <w:spacing w:after="0"/>
              <w:rPr>
                <w:sz w:val="20"/>
                <w:szCs w:val="20"/>
                <w:color w:val="auto"/>
              </w:rPr>
            </w:pPr>
            <w:r>
              <w:rPr>
                <w:rFonts w:ascii="Arial" w:cs="Arial" w:eastAsia="Arial" w:hAnsi="Arial"/>
                <w:sz w:val="18"/>
                <w:szCs w:val="18"/>
                <w:color w:val="auto"/>
                <w:w w:val="90"/>
              </w:rPr>
              <w:t>“Parent” shall mean any company (other than the Company), which now exists or is hereafter organized, (i) in an</w:t>
            </w:r>
          </w:p>
        </w:tc>
      </w:tr>
    </w:tbl>
    <w:p>
      <w:pPr>
        <w:ind w:right="120"/>
        <w:spacing w:after="0" w:line="255" w:lineRule="auto"/>
        <w:rPr>
          <w:sz w:val="20"/>
          <w:szCs w:val="20"/>
          <w:color w:val="auto"/>
        </w:rPr>
      </w:pPr>
      <w:r>
        <w:rPr>
          <w:rFonts w:ascii="Arial" w:cs="Arial" w:eastAsia="Arial" w:hAnsi="Arial"/>
          <w:sz w:val="18"/>
          <w:szCs w:val="18"/>
          <w:color w:val="auto"/>
        </w:rPr>
        <w:t>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as defined in Section 424(e) of the Code.</w:t>
      </w:r>
    </w:p>
    <w:p>
      <w:pPr>
        <w:spacing w:after="0" w:line="186"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2.2.19</w:t>
            </w:r>
          </w:p>
        </w:tc>
        <w:tc>
          <w:tcPr>
            <w:tcW w:w="8260" w:type="dxa"/>
            <w:vAlign w:val="bottom"/>
          </w:tcPr>
          <w:p>
            <w:pPr>
              <w:ind w:left="340"/>
              <w:spacing w:after="0"/>
              <w:rPr>
                <w:sz w:val="20"/>
                <w:szCs w:val="20"/>
                <w:color w:val="auto"/>
              </w:rPr>
            </w:pPr>
            <w:r>
              <w:rPr>
                <w:rFonts w:ascii="Arial" w:cs="Arial" w:eastAsia="Arial" w:hAnsi="Arial"/>
                <w:sz w:val="18"/>
                <w:szCs w:val="18"/>
                <w:color w:val="auto"/>
              </w:rPr>
              <w:t>“Prior Plan” shall mean the Brainsway LTD. 2014 Share Incentive Plan.</w:t>
            </w:r>
          </w:p>
        </w:tc>
      </w:tr>
      <w:tr>
        <w:trPr>
          <w:trHeight w:val="432"/>
        </w:trPr>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2.2.20</w:t>
            </w:r>
          </w:p>
        </w:tc>
        <w:tc>
          <w:tcPr>
            <w:tcW w:w="8260" w:type="dxa"/>
            <w:vAlign w:val="bottom"/>
          </w:tcPr>
          <w:p>
            <w:pPr>
              <w:ind w:left="340"/>
              <w:spacing w:after="0"/>
              <w:rPr>
                <w:sz w:val="20"/>
                <w:szCs w:val="20"/>
                <w:color w:val="auto"/>
              </w:rPr>
            </w:pPr>
            <w:r>
              <w:rPr>
                <w:rFonts w:ascii="Arial" w:cs="Arial" w:eastAsia="Arial" w:hAnsi="Arial"/>
                <w:sz w:val="18"/>
                <w:szCs w:val="18"/>
                <w:color w:val="auto"/>
                <w:w w:val="90"/>
              </w:rPr>
              <w:t>“Prior Plan Awards” shall mean (i) awards that were granted under the Prior Plan and were outstanding on the</w:t>
            </w:r>
          </w:p>
        </w:tc>
      </w:tr>
    </w:tbl>
    <w:p>
      <w:pPr>
        <w:ind w:right="80"/>
        <w:spacing w:after="0" w:line="255" w:lineRule="auto"/>
        <w:rPr>
          <w:sz w:val="20"/>
          <w:szCs w:val="20"/>
          <w:color w:val="auto"/>
        </w:rPr>
      </w:pPr>
      <w:r>
        <w:rPr>
          <w:rFonts w:ascii="Arial" w:cs="Arial" w:eastAsia="Arial" w:hAnsi="Arial"/>
          <w:sz w:val="18"/>
          <w:szCs w:val="18"/>
          <w:color w:val="auto"/>
        </w:rPr>
        <w:t>Effective Date and that, on or after the Effective Date, are forfeited, expire, or are canceled in accordance with the terms of the Prior Plan and the applicable award agreement or (ii) any shares subject to awards relating to our ordinary shares under the Prior Plan that, on or after the Effective Date, are settled in cash.</w:t>
      </w:r>
    </w:p>
    <w:p>
      <w:pPr>
        <w:spacing w:after="0" w:line="186" w:lineRule="exact"/>
        <w:rPr>
          <w:sz w:val="20"/>
          <w:szCs w:val="20"/>
          <w:color w:val="auto"/>
        </w:rPr>
      </w:pPr>
    </w:p>
    <w:p>
      <w:pPr>
        <w:ind w:right="260" w:firstLine="1531"/>
        <w:spacing w:after="0" w:line="282" w:lineRule="auto"/>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“Retirement” shall mean a Grantee's retirement pursuant to Applicable Law or in accordance with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tax-qualified retirement plan maintained by the Company or any of its Affiliates in which the Grantee participates or is subject to.</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20"/>
        </w:trPr>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2.2.22</w:t>
            </w:r>
          </w:p>
        </w:tc>
        <w:tc>
          <w:tcPr>
            <w:tcW w:w="8700" w:type="dxa"/>
            <w:vAlign w:val="bottom"/>
          </w:tcPr>
          <w:p>
            <w:pPr>
              <w:ind w:left="220"/>
              <w:spacing w:after="0"/>
              <w:rPr>
                <w:sz w:val="20"/>
                <w:szCs w:val="20"/>
                <w:color w:val="auto"/>
              </w:rPr>
            </w:pPr>
            <w:r>
              <w:rPr>
                <w:rFonts w:ascii="Arial" w:cs="Arial" w:eastAsia="Arial" w:hAnsi="Arial"/>
                <w:sz w:val="18"/>
                <w:szCs w:val="18"/>
                <w:color w:val="auto"/>
                <w:w w:val="90"/>
              </w:rPr>
              <w:t>“Securities Act” shall mean the U.S. Securities Act of 1933, and the rules and regulations promulgated thereunder, all</w:t>
            </w:r>
          </w:p>
        </w:tc>
      </w:tr>
      <w:tr>
        <w:trPr>
          <w:trHeight w:val="230"/>
        </w:trPr>
        <w:tc>
          <w:tcPr>
            <w:tcW w:w="2440" w:type="dxa"/>
            <w:vAlign w:val="bottom"/>
          </w:tcPr>
          <w:p>
            <w:pPr>
              <w:jc w:val="right"/>
              <w:ind w:right="150"/>
              <w:spacing w:after="0"/>
              <w:rPr>
                <w:sz w:val="20"/>
                <w:szCs w:val="20"/>
                <w:color w:val="auto"/>
              </w:rPr>
            </w:pPr>
            <w:r>
              <w:rPr>
                <w:rFonts w:ascii="Arial" w:cs="Arial" w:eastAsia="Arial" w:hAnsi="Arial"/>
                <w:sz w:val="18"/>
                <w:szCs w:val="18"/>
                <w:color w:val="auto"/>
                <w:w w:val="89"/>
              </w:rPr>
              <w:t>as amended from time to time.</w:t>
            </w:r>
          </w:p>
        </w:tc>
        <w:tc>
          <w:tcPr>
            <w:tcW w:w="8700" w:type="dxa"/>
            <w:vAlign w:val="bottom"/>
          </w:tcPr>
          <w:p>
            <w:pPr>
              <w:spacing w:after="0"/>
              <w:rPr>
                <w:sz w:val="20"/>
                <w:szCs w:val="20"/>
                <w:color w:val="auto"/>
              </w:rPr>
            </w:pPr>
          </w:p>
        </w:tc>
      </w:tr>
      <w:tr>
        <w:trPr>
          <w:trHeight w:val="432"/>
        </w:trPr>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2.2.23</w:t>
            </w:r>
          </w:p>
        </w:tc>
        <w:tc>
          <w:tcPr>
            <w:tcW w:w="8700" w:type="dxa"/>
            <w:vAlign w:val="bottom"/>
          </w:tcPr>
          <w:p>
            <w:pPr>
              <w:ind w:left="220"/>
              <w:spacing w:after="0"/>
              <w:rPr>
                <w:sz w:val="20"/>
                <w:szCs w:val="20"/>
                <w:color w:val="auto"/>
              </w:rPr>
            </w:pPr>
            <w:r>
              <w:rPr>
                <w:rFonts w:ascii="Arial" w:cs="Arial" w:eastAsia="Arial" w:hAnsi="Arial"/>
                <w:sz w:val="18"/>
                <w:szCs w:val="18"/>
                <w:color w:val="auto"/>
                <w:w w:val="92"/>
              </w:rPr>
              <w:t>“Service Provider” shall mean an Employee, director, officer, consultant, advisor and any other person or entity who</w:t>
            </w:r>
          </w:p>
        </w:tc>
      </w:tr>
    </w:tbl>
    <w:p>
      <w:pPr>
        <w:jc w:val="both"/>
        <w:ind w:right="280"/>
        <w:spacing w:after="0" w:line="255" w:lineRule="auto"/>
        <w:rPr>
          <w:sz w:val="20"/>
          <w:szCs w:val="20"/>
          <w:color w:val="auto"/>
        </w:rPr>
      </w:pPr>
      <w:r>
        <w:rPr>
          <w:rFonts w:ascii="Arial" w:cs="Arial" w:eastAsia="Arial" w:hAnsi="Arial"/>
          <w:sz w:val="18"/>
          <w:szCs w:val="18"/>
          <w:color w:val="auto"/>
        </w:rPr>
        <w:t>provides services to the Company or any Parent, Subsidiary or Affiliate thereof. Service Providers shall include prospective Service Providers to whom Awards are granted in connection with written offers of an employment or other service relationship with the Company or any Parent, Subsidiary or any Affiliates thereof, provided however that such employment or service shall have actually commenced.</w:t>
      </w:r>
    </w:p>
    <w:p>
      <w:pPr>
        <w:spacing w:after="0" w:line="186" w:lineRule="exact"/>
        <w:rPr>
          <w:sz w:val="20"/>
          <w:szCs w:val="20"/>
          <w:color w:val="auto"/>
        </w:rPr>
      </w:pPr>
    </w:p>
    <w:p>
      <w:pPr>
        <w:ind w:right="240" w:firstLine="1531"/>
        <w:spacing w:after="0" w:line="289" w:lineRule="auto"/>
        <w:rPr>
          <w:sz w:val="20"/>
          <w:szCs w:val="20"/>
          <w:color w:val="auto"/>
        </w:rPr>
      </w:pPr>
      <w:r>
        <w:rPr>
          <w:rFonts w:ascii="Arial" w:cs="Arial" w:eastAsia="Arial" w:hAnsi="Arial"/>
          <w:sz w:val="17"/>
          <w:szCs w:val="17"/>
          <w:b w:val="1"/>
          <w:bCs w:val="1"/>
          <w:color w:val="auto"/>
        </w:rPr>
        <w:t xml:space="preserve">2.2.24 </w:t>
      </w:r>
      <w:r>
        <w:rPr>
          <w:rFonts w:ascii="Arial" w:cs="Arial" w:eastAsia="Arial" w:hAnsi="Arial"/>
          <w:sz w:val="17"/>
          <w:szCs w:val="17"/>
          <w:color w:val="auto"/>
        </w:rPr>
        <w:t>“Shares” shall mean Ordinary Shares, par value NIS 0.04, of the Company (as adjusted for stock split, reverse stock</w:t>
      </w:r>
      <w:r>
        <w:rPr>
          <w:rFonts w:ascii="Arial" w:cs="Arial" w:eastAsia="Arial" w:hAnsi="Arial"/>
          <w:sz w:val="17"/>
          <w:szCs w:val="17"/>
          <w:b w:val="1"/>
          <w:bCs w:val="1"/>
          <w:color w:val="auto"/>
        </w:rPr>
        <w:t xml:space="preserve"> </w:t>
      </w:r>
      <w:r>
        <w:rPr>
          <w:rFonts w:ascii="Arial" w:cs="Arial" w:eastAsia="Arial" w:hAnsi="Arial"/>
          <w:sz w:val="17"/>
          <w:szCs w:val="17"/>
          <w:color w:val="auto"/>
        </w:rPr>
        <w:t>split, bonus shares, combination or other recapitalization events), or shares of such other class of shares of the Company as shall be designated by the Board in respect of the relevant Award(s). “Shares” include any securities or property issued or distributed with respect thereto.</w:t>
      </w:r>
    </w:p>
    <w:p>
      <w:pPr>
        <w:spacing w:after="0" w:line="158" w:lineRule="exact"/>
        <w:rPr>
          <w:sz w:val="20"/>
          <w:szCs w:val="20"/>
          <w:color w:val="auto"/>
        </w:rPr>
      </w:pPr>
    </w:p>
    <w:p>
      <w:pPr>
        <w:ind w:right="160" w:firstLine="1531"/>
        <w:spacing w:after="0" w:line="258" w:lineRule="auto"/>
        <w:rPr>
          <w:sz w:val="20"/>
          <w:szCs w:val="20"/>
          <w:color w:val="auto"/>
        </w:rPr>
      </w:pPr>
      <w:r>
        <w:rPr>
          <w:rFonts w:ascii="Arial" w:cs="Arial" w:eastAsia="Arial" w:hAnsi="Arial"/>
          <w:sz w:val="18"/>
          <w:szCs w:val="18"/>
          <w:b w:val="1"/>
          <w:bCs w:val="1"/>
          <w:color w:val="auto"/>
        </w:rPr>
        <w:t xml:space="preserve">2.2.25 </w:t>
      </w:r>
      <w:r>
        <w:rPr>
          <w:rFonts w:ascii="Arial" w:cs="Arial" w:eastAsia="Arial" w:hAnsi="Arial"/>
          <w:sz w:val="18"/>
          <w:szCs w:val="18"/>
          <w:color w:val="auto"/>
        </w:rPr>
        <w:t>“Subsidiary” shall mean any company (other than the Company), which now exists or is hereafter organized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as defined in Section 424(f) of the Code.</w:t>
      </w:r>
    </w:p>
    <w:p>
      <w:pPr>
        <w:spacing w:after="0" w:line="183" w:lineRule="exact"/>
        <w:rPr>
          <w:sz w:val="20"/>
          <w:szCs w:val="20"/>
          <w:color w:val="auto"/>
        </w:rPr>
      </w:pPr>
    </w:p>
    <w:p>
      <w:pPr>
        <w:ind w:right="100" w:firstLine="1531"/>
        <w:spacing w:after="0" w:line="266" w:lineRule="auto"/>
        <w:rPr>
          <w:sz w:val="20"/>
          <w:szCs w:val="20"/>
          <w:color w:val="auto"/>
        </w:rPr>
      </w:pPr>
      <w:r>
        <w:rPr>
          <w:rFonts w:ascii="Arial" w:cs="Arial" w:eastAsia="Arial" w:hAnsi="Arial"/>
          <w:sz w:val="18"/>
          <w:szCs w:val="18"/>
          <w:b w:val="1"/>
          <w:bCs w:val="1"/>
          <w:color w:val="auto"/>
        </w:rPr>
        <w:t xml:space="preserve">2.2.26 </w:t>
      </w:r>
      <w:r>
        <w:rPr>
          <w:rFonts w:ascii="Arial" w:cs="Arial" w:eastAsia="Arial" w:hAnsi="Arial"/>
          <w:sz w:val="18"/>
          <w:szCs w:val="18"/>
          <w:color w:val="auto"/>
        </w:rPr>
        <w:t>“Ten Percent Shareholder” shall mean a Grantee who, at the time an Award is granted to the Grantee, owns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possessing more than ten percent (10%) of the total combined voting power of all classes of shares of the Company or any Parent or Subsidiary, within the meaning of Section 422(b)(6) of the Code.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2140" w:type="dxa"/>
            <w:vAlign w:val="bottom"/>
            <w:gridSpan w:val="2"/>
          </w:tcPr>
          <w:p>
            <w:pPr>
              <w:ind w:left="1120"/>
              <w:spacing w:after="0"/>
              <w:rPr>
                <w:sz w:val="20"/>
                <w:szCs w:val="20"/>
                <w:color w:val="auto"/>
              </w:rPr>
            </w:pPr>
            <w:r>
              <w:rPr>
                <w:rFonts w:ascii="Arial" w:cs="Arial" w:eastAsia="Arial" w:hAnsi="Arial"/>
                <w:sz w:val="18"/>
                <w:szCs w:val="18"/>
                <w:b w:val="1"/>
                <w:bCs w:val="1"/>
                <w:color w:val="auto"/>
              </w:rPr>
              <w:t>2.2.27</w:t>
            </w:r>
          </w:p>
        </w:tc>
        <w:tc>
          <w:tcPr>
            <w:tcW w:w="8680" w:type="dxa"/>
            <w:vAlign w:val="bottom"/>
            <w:gridSpan w:val="2"/>
          </w:tcPr>
          <w:p>
            <w:pPr>
              <w:ind w:left="100"/>
              <w:spacing w:after="0"/>
              <w:rPr>
                <w:sz w:val="20"/>
                <w:szCs w:val="20"/>
                <w:color w:val="auto"/>
              </w:rPr>
            </w:pPr>
            <w:r>
              <w:rPr>
                <w:rFonts w:ascii="Arial" w:cs="Arial" w:eastAsia="Arial" w:hAnsi="Arial"/>
                <w:sz w:val="18"/>
                <w:szCs w:val="18"/>
                <w:color w:val="auto"/>
                <w:w w:val="94"/>
              </w:rPr>
              <w:t>“Trustee” shall mean the trustee appointed by the Committee to hold the Awards (and, in relation with 102 Awards,</w:t>
            </w:r>
          </w:p>
        </w:tc>
      </w:tr>
      <w:tr>
        <w:trPr>
          <w:trHeight w:val="230"/>
        </w:trPr>
        <w:tc>
          <w:tcPr>
            <w:tcW w:w="3380" w:type="dxa"/>
            <w:vAlign w:val="bottom"/>
            <w:gridSpan w:val="4"/>
          </w:tcPr>
          <w:p>
            <w:pPr>
              <w:spacing w:after="0"/>
              <w:rPr>
                <w:sz w:val="20"/>
                <w:szCs w:val="20"/>
                <w:color w:val="auto"/>
              </w:rPr>
            </w:pPr>
            <w:r>
              <w:rPr>
                <w:rFonts w:ascii="Arial" w:cs="Arial" w:eastAsia="Arial" w:hAnsi="Arial"/>
                <w:sz w:val="18"/>
                <w:szCs w:val="18"/>
                <w:color w:val="auto"/>
              </w:rPr>
              <w:t>approved by the ITA), if so appointed.</w:t>
            </w:r>
          </w:p>
        </w:tc>
        <w:tc>
          <w:tcPr>
            <w:tcW w:w="786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Arial" w:cs="Arial" w:eastAsia="Arial" w:hAnsi="Arial"/>
                <w:sz w:val="18"/>
                <w:szCs w:val="18"/>
                <w:b w:val="1"/>
                <w:bCs w:val="1"/>
                <w:color w:val="auto"/>
              </w:rPr>
              <w:t>2.3</w:t>
            </w:r>
          </w:p>
        </w:tc>
        <w:tc>
          <w:tcPr>
            <w:tcW w:w="9380" w:type="dxa"/>
            <w:vAlign w:val="bottom"/>
            <w:gridSpan w:val="3"/>
          </w:tcPr>
          <w:p>
            <w:pPr>
              <w:spacing w:after="0"/>
              <w:rPr>
                <w:sz w:val="20"/>
                <w:szCs w:val="20"/>
                <w:color w:val="auto"/>
              </w:rPr>
            </w:pPr>
            <w:r>
              <w:rPr>
                <w:rFonts w:ascii="Arial" w:cs="Arial" w:eastAsia="Arial" w:hAnsi="Arial"/>
                <w:sz w:val="18"/>
                <w:szCs w:val="18"/>
                <w:color w:val="auto"/>
              </w:rPr>
              <w:t>Other Defined Terms. The following terms shall have the meanings ascribed to them in the Sections set forth below:</w:t>
            </w:r>
          </w:p>
        </w:tc>
      </w:tr>
      <w:tr>
        <w:trPr>
          <w:trHeight w:val="438"/>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Term</w:t>
            </w:r>
          </w:p>
        </w:tc>
        <w:tc>
          <w:tcPr>
            <w:tcW w:w="7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Section</w:t>
            </w:r>
          </w:p>
        </w:tc>
      </w:tr>
      <w:tr>
        <w:trPr>
          <w:trHeight w:val="216"/>
        </w:trPr>
        <w:tc>
          <w:tcPr>
            <w:tcW w:w="420" w:type="dxa"/>
            <w:vAlign w:val="bottom"/>
          </w:tcPr>
          <w:p>
            <w:pPr>
              <w:ind w:left="120"/>
              <w:spacing w:after="0"/>
              <w:rPr>
                <w:sz w:val="20"/>
                <w:szCs w:val="20"/>
                <w:color w:val="auto"/>
              </w:rPr>
            </w:pPr>
            <w:r>
              <w:rPr>
                <w:rFonts w:ascii="Arial" w:cs="Arial" w:eastAsia="Arial" w:hAnsi="Arial"/>
                <w:sz w:val="18"/>
                <w:szCs w:val="18"/>
                <w:color w:val="auto"/>
                <w:w w:val="93"/>
              </w:rPr>
              <w:t>102</w:t>
            </w:r>
          </w:p>
        </w:tc>
        <w:tc>
          <w:tcPr>
            <w:tcW w:w="1440" w:type="dxa"/>
            <w:vAlign w:val="bottom"/>
          </w:tcPr>
          <w:p>
            <w:pPr>
              <w:ind w:left="20"/>
              <w:spacing w:after="0"/>
              <w:rPr>
                <w:sz w:val="20"/>
                <w:szCs w:val="20"/>
                <w:color w:val="auto"/>
              </w:rPr>
            </w:pPr>
            <w:r>
              <w:rPr>
                <w:rFonts w:ascii="Arial" w:cs="Arial" w:eastAsia="Arial" w:hAnsi="Arial"/>
                <w:sz w:val="18"/>
                <w:szCs w:val="18"/>
                <w:color w:val="auto"/>
              </w:rPr>
              <w:t>Awards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1.2(i)</w:t>
            </w:r>
          </w:p>
        </w:tc>
      </w:tr>
      <w:tr>
        <w:trPr>
          <w:trHeight w:val="216"/>
        </w:trPr>
        <w:tc>
          <w:tcPr>
            <w:tcW w:w="420" w:type="dxa"/>
            <w:vAlign w:val="bottom"/>
          </w:tcPr>
          <w:p>
            <w:pPr>
              <w:ind w:left="120"/>
              <w:spacing w:after="0"/>
              <w:rPr>
                <w:sz w:val="20"/>
                <w:szCs w:val="20"/>
                <w:color w:val="auto"/>
              </w:rPr>
            </w:pPr>
            <w:r>
              <w:rPr>
                <w:rFonts w:ascii="Arial" w:cs="Arial" w:eastAsia="Arial" w:hAnsi="Arial"/>
                <w:sz w:val="18"/>
                <w:szCs w:val="18"/>
                <w:color w:val="auto"/>
                <w:w w:val="93"/>
              </w:rPr>
              <w:t>102</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w w:val="94"/>
              </w:rPr>
              <w:t>Capital Gains Track Awards</w:t>
            </w: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9.1</w:t>
            </w:r>
          </w:p>
        </w:tc>
      </w:tr>
      <w:tr>
        <w:trPr>
          <w:trHeight w:val="216"/>
        </w:trPr>
        <w:tc>
          <w:tcPr>
            <w:tcW w:w="420" w:type="dxa"/>
            <w:vAlign w:val="bottom"/>
          </w:tcPr>
          <w:p>
            <w:pPr>
              <w:ind w:left="120"/>
              <w:spacing w:after="0"/>
              <w:rPr>
                <w:sz w:val="20"/>
                <w:szCs w:val="20"/>
                <w:color w:val="auto"/>
              </w:rPr>
            </w:pPr>
            <w:r>
              <w:rPr>
                <w:rFonts w:ascii="Arial" w:cs="Arial" w:eastAsia="Arial" w:hAnsi="Arial"/>
                <w:sz w:val="18"/>
                <w:szCs w:val="18"/>
                <w:color w:val="auto"/>
                <w:w w:val="93"/>
              </w:rPr>
              <w:t>102</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Non-Trustee Awards</w:t>
            </w: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9.2</w:t>
            </w:r>
          </w:p>
        </w:tc>
      </w:tr>
      <w:tr>
        <w:trPr>
          <w:trHeight w:val="216"/>
        </w:trPr>
        <w:tc>
          <w:tcPr>
            <w:tcW w:w="420" w:type="dxa"/>
            <w:vAlign w:val="bottom"/>
          </w:tcPr>
          <w:p>
            <w:pPr>
              <w:ind w:left="120"/>
              <w:spacing w:after="0"/>
              <w:rPr>
                <w:sz w:val="20"/>
                <w:szCs w:val="20"/>
                <w:color w:val="auto"/>
              </w:rPr>
            </w:pPr>
            <w:r>
              <w:rPr>
                <w:rFonts w:ascii="Arial" w:cs="Arial" w:eastAsia="Arial" w:hAnsi="Arial"/>
                <w:sz w:val="18"/>
                <w:szCs w:val="18"/>
                <w:color w:val="auto"/>
                <w:w w:val="93"/>
              </w:rPr>
              <w:t>102</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Ordinary Income Track Awards</w:t>
            </w:r>
          </w:p>
        </w:tc>
        <w:tc>
          <w:tcPr>
            <w:tcW w:w="7860" w:type="dxa"/>
            <w:vAlign w:val="bottom"/>
          </w:tcPr>
          <w:p>
            <w:pPr>
              <w:ind w:left="3600"/>
              <w:spacing w:after="0"/>
              <w:rPr>
                <w:sz w:val="20"/>
                <w:szCs w:val="20"/>
                <w:color w:val="auto"/>
              </w:rPr>
            </w:pPr>
            <w:r>
              <w:rPr>
                <w:rFonts w:ascii="Arial" w:cs="Arial" w:eastAsia="Arial" w:hAnsi="Arial"/>
                <w:sz w:val="18"/>
                <w:szCs w:val="18"/>
                <w:color w:val="auto"/>
              </w:rPr>
              <w:t>9.1</w:t>
            </w:r>
          </w:p>
        </w:tc>
      </w:tr>
      <w:tr>
        <w:trPr>
          <w:trHeight w:val="216"/>
        </w:trPr>
        <w:tc>
          <w:tcPr>
            <w:tcW w:w="420" w:type="dxa"/>
            <w:vAlign w:val="bottom"/>
          </w:tcPr>
          <w:p>
            <w:pPr>
              <w:ind w:left="120"/>
              <w:spacing w:after="0"/>
              <w:rPr>
                <w:sz w:val="20"/>
                <w:szCs w:val="20"/>
                <w:color w:val="auto"/>
              </w:rPr>
            </w:pPr>
            <w:r>
              <w:rPr>
                <w:rFonts w:ascii="Arial" w:cs="Arial" w:eastAsia="Arial" w:hAnsi="Arial"/>
                <w:sz w:val="18"/>
                <w:szCs w:val="18"/>
                <w:color w:val="auto"/>
                <w:w w:val="93"/>
              </w:rPr>
              <w:t>102</w:t>
            </w:r>
          </w:p>
        </w:tc>
        <w:tc>
          <w:tcPr>
            <w:tcW w:w="1440" w:type="dxa"/>
            <w:vAlign w:val="bottom"/>
          </w:tcPr>
          <w:p>
            <w:pPr>
              <w:ind w:left="20"/>
              <w:spacing w:after="0"/>
              <w:rPr>
                <w:sz w:val="20"/>
                <w:szCs w:val="20"/>
                <w:color w:val="auto"/>
              </w:rPr>
            </w:pPr>
            <w:r>
              <w:rPr>
                <w:rFonts w:ascii="Arial" w:cs="Arial" w:eastAsia="Arial" w:hAnsi="Arial"/>
                <w:sz w:val="18"/>
                <w:szCs w:val="18"/>
                <w:color w:val="auto"/>
              </w:rPr>
              <w:t>Trustee Awards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9.1</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3(9) Awards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1.2(ii)</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Award Agreement</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6</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Cause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6.6.4.4</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1.1</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Effective Date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24.1</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Election</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9.2</w:t>
            </w:r>
          </w:p>
        </w:tc>
      </w:tr>
      <w:tr>
        <w:trPr>
          <w:trHeight w:val="230"/>
        </w:trPr>
        <w:tc>
          <w:tcPr>
            <w:tcW w:w="1860" w:type="dxa"/>
            <w:vAlign w:val="bottom"/>
            <w:gridSpan w:val="2"/>
          </w:tcPr>
          <w:p>
            <w:pPr>
              <w:ind w:left="120"/>
              <w:spacing w:after="0"/>
              <w:rPr>
                <w:sz w:val="20"/>
                <w:szCs w:val="20"/>
                <w:color w:val="auto"/>
              </w:rPr>
            </w:pPr>
            <w:r>
              <w:rPr>
                <w:rFonts w:ascii="Arial" w:cs="Arial" w:eastAsia="Arial" w:hAnsi="Arial"/>
                <w:sz w:val="18"/>
                <w:szCs w:val="18"/>
                <w:color w:val="auto"/>
                <w:w w:val="99"/>
              </w:rPr>
              <w:t>Eligible 102 Grantees</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60" w:type="dxa"/>
            <w:vAlign w:val="bottom"/>
          </w:tcPr>
          <w:p>
            <w:pPr>
              <w:ind w:left="3600"/>
              <w:spacing w:after="0"/>
              <w:rPr>
                <w:sz w:val="20"/>
                <w:szCs w:val="20"/>
                <w:color w:val="auto"/>
              </w:rPr>
            </w:pPr>
            <w:r>
              <w:rPr>
                <w:rFonts w:ascii="Arial" w:cs="Arial" w:eastAsia="Arial" w:hAnsi="Arial"/>
                <w:sz w:val="18"/>
                <w:szCs w:val="18"/>
                <w:color w:val="auto"/>
              </w:rPr>
              <w:t>9.3.1</w:t>
            </w:r>
          </w:p>
        </w:tc>
      </w:tr>
      <w:tr>
        <w:trPr>
          <w:trHeight w:val="783"/>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60" w:type="dxa"/>
            <w:vAlign w:val="bottom"/>
          </w:tcPr>
          <w:p>
            <w:pPr>
              <w:ind w:left="2100"/>
              <w:spacing w:after="0"/>
              <w:rPr>
                <w:sz w:val="20"/>
                <w:szCs w:val="20"/>
                <w:color w:val="auto"/>
              </w:rPr>
            </w:pPr>
            <w:r>
              <w:rPr>
                <w:rFonts w:ascii="Arial" w:cs="Arial" w:eastAsia="Arial" w:hAnsi="Arial"/>
                <w:sz w:val="18"/>
                <w:szCs w:val="18"/>
                <w:color w:val="auto"/>
              </w:rPr>
              <w:t>- 5 -</w:t>
            </w:r>
          </w:p>
        </w:tc>
      </w:tr>
      <w:tr>
        <w:trPr>
          <w:trHeight w:val="108"/>
        </w:trPr>
        <w:tc>
          <w:tcPr>
            <w:tcW w:w="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60" w:type="dxa"/>
            <w:vAlign w:val="bottom"/>
          </w:tcPr>
          <w:p>
            <w:pPr>
              <w:spacing w:after="0"/>
              <w:rPr>
                <w:sz w:val="9"/>
                <w:szCs w:val="9"/>
                <w:color w:val="auto"/>
              </w:rPr>
            </w:pPr>
          </w:p>
        </w:tc>
      </w:tr>
      <w:tr>
        <w:trPr>
          <w:trHeight w:val="68"/>
        </w:trPr>
        <w:tc>
          <w:tcPr>
            <w:tcW w:w="4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Incentive Stock Options</w:t>
            </w:r>
          </w:p>
        </w:tc>
        <w:tc>
          <w:tcPr>
            <w:tcW w:w="2740" w:type="dxa"/>
            <w:vAlign w:val="bottom"/>
          </w:tcPr>
          <w:p>
            <w:pPr>
              <w:ind w:left="2240"/>
              <w:spacing w:after="0"/>
              <w:rPr>
                <w:sz w:val="20"/>
                <w:szCs w:val="20"/>
                <w:color w:val="auto"/>
              </w:rPr>
            </w:pPr>
            <w:r>
              <w:rPr>
                <w:rFonts w:ascii="Arial" w:cs="Arial" w:eastAsia="Arial" w:hAnsi="Arial"/>
                <w:sz w:val="18"/>
                <w:szCs w:val="18"/>
                <w:color w:val="auto"/>
                <w:w w:val="97"/>
              </w:rPr>
              <w:t>1.2(iii)</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ISO Share Issuance Limit</w:t>
            </w:r>
          </w:p>
        </w:tc>
        <w:tc>
          <w:tcPr>
            <w:tcW w:w="2740" w:type="dxa"/>
            <w:vAlign w:val="bottom"/>
          </w:tcPr>
          <w:p>
            <w:pPr>
              <w:ind w:left="2240"/>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ind w:left="120"/>
              <w:spacing w:after="0"/>
              <w:rPr>
                <w:sz w:val="20"/>
                <w:szCs w:val="20"/>
                <w:color w:val="auto"/>
              </w:rPr>
            </w:pPr>
            <w:r>
              <w:rPr>
                <w:rFonts w:ascii="Arial" w:cs="Arial" w:eastAsia="Arial" w:hAnsi="Arial"/>
                <w:sz w:val="18"/>
                <w:szCs w:val="18"/>
                <w:color w:val="auto"/>
              </w:rPr>
              <w:t>ITA</w:t>
            </w:r>
          </w:p>
        </w:tc>
        <w:tc>
          <w:tcPr>
            <w:tcW w:w="4300" w:type="dxa"/>
            <w:vAlign w:val="bottom"/>
          </w:tcPr>
          <w:p>
            <w:pPr>
              <w:spacing w:after="0"/>
              <w:rPr>
                <w:sz w:val="18"/>
                <w:szCs w:val="18"/>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1.1(i)</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Market Stand-Off</w:t>
            </w:r>
          </w:p>
        </w:tc>
        <w:tc>
          <w:tcPr>
            <w:tcW w:w="2740" w:type="dxa"/>
            <w:vAlign w:val="bottom"/>
          </w:tcPr>
          <w:p>
            <w:pPr>
              <w:ind w:left="2240"/>
              <w:spacing w:after="0"/>
              <w:rPr>
                <w:sz w:val="20"/>
                <w:szCs w:val="20"/>
                <w:color w:val="auto"/>
              </w:rPr>
            </w:pPr>
            <w:r>
              <w:rPr>
                <w:rFonts w:ascii="Arial" w:cs="Arial" w:eastAsia="Arial" w:hAnsi="Arial"/>
                <w:sz w:val="18"/>
                <w:szCs w:val="18"/>
                <w:color w:val="auto"/>
              </w:rPr>
              <w:t>17.1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Market Stand-Off Period</w:t>
            </w:r>
          </w:p>
        </w:tc>
        <w:tc>
          <w:tcPr>
            <w:tcW w:w="2740" w:type="dxa"/>
            <w:vAlign w:val="bottom"/>
          </w:tcPr>
          <w:p>
            <w:pPr>
              <w:ind w:left="2240"/>
              <w:spacing w:after="0"/>
              <w:rPr>
                <w:sz w:val="20"/>
                <w:szCs w:val="20"/>
                <w:color w:val="auto"/>
              </w:rPr>
            </w:pPr>
            <w:r>
              <w:rPr>
                <w:rFonts w:ascii="Arial" w:cs="Arial" w:eastAsia="Arial" w:hAnsi="Arial"/>
                <w:sz w:val="18"/>
                <w:szCs w:val="18"/>
                <w:color w:val="auto"/>
              </w:rPr>
              <w:t>17.1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Merger/Sale</w:t>
            </w:r>
          </w:p>
        </w:tc>
        <w:tc>
          <w:tcPr>
            <w:tcW w:w="2740" w:type="dxa"/>
            <w:vAlign w:val="bottom"/>
          </w:tcPr>
          <w:p>
            <w:pPr>
              <w:ind w:left="2240"/>
              <w:spacing w:after="0"/>
              <w:rPr>
                <w:sz w:val="20"/>
                <w:szCs w:val="20"/>
                <w:color w:val="auto"/>
              </w:rPr>
            </w:pPr>
            <w:r>
              <w:rPr>
                <w:rFonts w:ascii="Arial" w:cs="Arial" w:eastAsia="Arial" w:hAnsi="Arial"/>
                <w:sz w:val="18"/>
                <w:szCs w:val="18"/>
                <w:color w:val="auto"/>
              </w:rPr>
              <w:t>14.2</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Nonqualified Stock Options</w:t>
            </w:r>
          </w:p>
        </w:tc>
        <w:tc>
          <w:tcPr>
            <w:tcW w:w="2740" w:type="dxa"/>
            <w:vAlign w:val="bottom"/>
          </w:tcPr>
          <w:p>
            <w:pPr>
              <w:ind w:left="2240"/>
              <w:spacing w:after="0"/>
              <w:rPr>
                <w:sz w:val="20"/>
                <w:szCs w:val="20"/>
                <w:color w:val="auto"/>
              </w:rPr>
            </w:pPr>
            <w:r>
              <w:rPr>
                <w:rFonts w:ascii="Arial" w:cs="Arial" w:eastAsia="Arial" w:hAnsi="Arial"/>
                <w:sz w:val="18"/>
                <w:szCs w:val="18"/>
                <w:color w:val="auto"/>
                <w:w w:val="95"/>
              </w:rPr>
              <w:t>1.2(iv)</w:t>
            </w:r>
          </w:p>
        </w:tc>
      </w:tr>
      <w:tr>
        <w:trPr>
          <w:trHeight w:val="216"/>
        </w:trPr>
        <w:tc>
          <w:tcPr>
            <w:tcW w:w="440" w:type="dxa"/>
            <w:vAlign w:val="bottom"/>
          </w:tcPr>
          <w:p>
            <w:pPr>
              <w:ind w:left="120"/>
              <w:spacing w:after="0"/>
              <w:rPr>
                <w:sz w:val="20"/>
                <w:szCs w:val="20"/>
                <w:color w:val="auto"/>
              </w:rPr>
            </w:pPr>
            <w:r>
              <w:rPr>
                <w:rFonts w:ascii="Arial" w:cs="Arial" w:eastAsia="Arial" w:hAnsi="Arial"/>
                <w:sz w:val="18"/>
                <w:szCs w:val="18"/>
                <w:color w:val="auto"/>
                <w:w w:val="83"/>
              </w:rPr>
              <w:t>Plan</w:t>
            </w:r>
          </w:p>
        </w:tc>
        <w:tc>
          <w:tcPr>
            <w:tcW w:w="4300" w:type="dxa"/>
            <w:vAlign w:val="bottom"/>
          </w:tcPr>
          <w:p>
            <w:pPr>
              <w:spacing w:after="0"/>
              <w:rPr>
                <w:sz w:val="18"/>
                <w:szCs w:val="18"/>
                <w:color w:val="auto"/>
              </w:rPr>
            </w:pPr>
          </w:p>
        </w:tc>
        <w:tc>
          <w:tcPr>
            <w:tcW w:w="2740" w:type="dxa"/>
            <w:vAlign w:val="bottom"/>
          </w:tcPr>
          <w:p>
            <w:pPr>
              <w:ind w:left="2240"/>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Recapitalization</w:t>
            </w:r>
          </w:p>
        </w:tc>
        <w:tc>
          <w:tcPr>
            <w:tcW w:w="2740" w:type="dxa"/>
            <w:vAlign w:val="bottom"/>
          </w:tcPr>
          <w:p>
            <w:pPr>
              <w:ind w:left="2240"/>
              <w:spacing w:after="0"/>
              <w:rPr>
                <w:sz w:val="20"/>
                <w:szCs w:val="20"/>
                <w:color w:val="auto"/>
              </w:rPr>
            </w:pPr>
            <w:r>
              <w:rPr>
                <w:rFonts w:ascii="Arial" w:cs="Arial" w:eastAsia="Arial" w:hAnsi="Arial"/>
                <w:sz w:val="18"/>
                <w:szCs w:val="18"/>
                <w:color w:val="auto"/>
              </w:rPr>
              <w:t>14.1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Required Holding Period</w:t>
            </w:r>
          </w:p>
        </w:tc>
        <w:tc>
          <w:tcPr>
            <w:tcW w:w="2740" w:type="dxa"/>
            <w:vAlign w:val="bottom"/>
          </w:tcPr>
          <w:p>
            <w:pPr>
              <w:ind w:left="2240"/>
              <w:spacing w:after="0"/>
              <w:rPr>
                <w:sz w:val="20"/>
                <w:szCs w:val="20"/>
                <w:color w:val="auto"/>
              </w:rPr>
            </w:pPr>
            <w:r>
              <w:rPr>
                <w:rFonts w:ascii="Arial" w:cs="Arial" w:eastAsia="Arial" w:hAnsi="Arial"/>
                <w:sz w:val="18"/>
                <w:szCs w:val="18"/>
                <w:color w:val="auto"/>
              </w:rPr>
              <w:t>9.5</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Restricted Period</w:t>
            </w:r>
          </w:p>
        </w:tc>
        <w:tc>
          <w:tcPr>
            <w:tcW w:w="2740" w:type="dxa"/>
            <w:vAlign w:val="bottom"/>
          </w:tcPr>
          <w:p>
            <w:pPr>
              <w:ind w:left="2240"/>
              <w:spacing w:after="0"/>
              <w:rPr>
                <w:sz w:val="20"/>
                <w:szCs w:val="20"/>
                <w:color w:val="auto"/>
              </w:rPr>
            </w:pPr>
            <w:r>
              <w:rPr>
                <w:rFonts w:ascii="Arial" w:cs="Arial" w:eastAsia="Arial" w:hAnsi="Arial"/>
                <w:sz w:val="18"/>
                <w:szCs w:val="18"/>
                <w:color w:val="auto"/>
              </w:rPr>
              <w:t>11.2</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Restricted Share Agreement</w:t>
            </w:r>
          </w:p>
        </w:tc>
        <w:tc>
          <w:tcPr>
            <w:tcW w:w="2740" w:type="dxa"/>
            <w:vAlign w:val="bottom"/>
          </w:tcPr>
          <w:p>
            <w:pPr>
              <w:ind w:left="2240"/>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Restricted Share Unit Agreement</w:t>
            </w:r>
          </w:p>
        </w:tc>
        <w:tc>
          <w:tcPr>
            <w:tcW w:w="2740" w:type="dxa"/>
            <w:vAlign w:val="bottom"/>
          </w:tcPr>
          <w:p>
            <w:pPr>
              <w:ind w:left="2240"/>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Restricted Shares</w:t>
            </w:r>
          </w:p>
        </w:tc>
        <w:tc>
          <w:tcPr>
            <w:tcW w:w="2740" w:type="dxa"/>
            <w:vAlign w:val="bottom"/>
          </w:tcPr>
          <w:p>
            <w:pPr>
              <w:ind w:left="2240"/>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RSUs</w:t>
            </w:r>
          </w:p>
        </w:tc>
        <w:tc>
          <w:tcPr>
            <w:tcW w:w="2740" w:type="dxa"/>
            <w:vAlign w:val="bottom"/>
          </w:tcPr>
          <w:p>
            <w:pPr>
              <w:ind w:left="2240"/>
              <w:spacing w:after="0"/>
              <w:rPr>
                <w:sz w:val="20"/>
                <w:szCs w:val="20"/>
                <w:color w:val="auto"/>
              </w:rPr>
            </w:pPr>
            <w:r>
              <w:rPr>
                <w:rFonts w:ascii="Arial" w:cs="Arial" w:eastAsia="Arial" w:hAnsi="Arial"/>
                <w:sz w:val="18"/>
                <w:szCs w:val="18"/>
                <w:color w:val="auto"/>
              </w:rPr>
              <w:t>1.1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Rules</w:t>
            </w:r>
          </w:p>
        </w:tc>
        <w:tc>
          <w:tcPr>
            <w:tcW w:w="2740" w:type="dxa"/>
            <w:vAlign w:val="bottom"/>
          </w:tcPr>
          <w:p>
            <w:pPr>
              <w:ind w:left="2240"/>
              <w:spacing w:after="0"/>
              <w:rPr>
                <w:sz w:val="20"/>
                <w:szCs w:val="20"/>
                <w:color w:val="auto"/>
              </w:rPr>
            </w:pPr>
            <w:r>
              <w:rPr>
                <w:rFonts w:ascii="Arial" w:cs="Arial" w:eastAsia="Arial" w:hAnsi="Arial"/>
                <w:sz w:val="18"/>
                <w:szCs w:val="18"/>
                <w:color w:val="auto"/>
              </w:rPr>
              <w:t>1.1(i)</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2740" w:type="dxa"/>
            <w:vAlign w:val="bottom"/>
          </w:tcPr>
          <w:p>
            <w:pPr>
              <w:ind w:left="2240"/>
              <w:spacing w:after="0"/>
              <w:rPr>
                <w:sz w:val="20"/>
                <w:szCs w:val="20"/>
                <w:color w:val="auto"/>
              </w:rPr>
            </w:pPr>
            <w:r>
              <w:rPr>
                <w:rFonts w:ascii="Arial" w:cs="Arial" w:eastAsia="Arial" w:hAnsi="Arial"/>
                <w:sz w:val="18"/>
                <w:szCs w:val="18"/>
                <w:color w:val="auto"/>
              </w:rPr>
              <w:t>17.1</w:t>
            </w: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Successor Corporation</w:t>
            </w:r>
          </w:p>
        </w:tc>
        <w:tc>
          <w:tcPr>
            <w:tcW w:w="2740" w:type="dxa"/>
            <w:vAlign w:val="bottom"/>
          </w:tcPr>
          <w:p>
            <w:pPr>
              <w:ind w:left="2240"/>
              <w:spacing w:after="0"/>
              <w:rPr>
                <w:sz w:val="20"/>
                <w:szCs w:val="20"/>
                <w:color w:val="auto"/>
              </w:rPr>
            </w:pPr>
            <w:r>
              <w:rPr>
                <w:rFonts w:ascii="Arial" w:cs="Arial" w:eastAsia="Arial" w:hAnsi="Arial"/>
                <w:sz w:val="18"/>
                <w:szCs w:val="18"/>
                <w:color w:val="auto"/>
                <w:w w:val="95"/>
              </w:rPr>
              <w:t>14.2.1</w:t>
            </w:r>
          </w:p>
        </w:tc>
      </w:tr>
      <w:tr>
        <w:trPr>
          <w:trHeight w:val="230"/>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Withholding Obligations</w:t>
            </w:r>
          </w:p>
        </w:tc>
        <w:tc>
          <w:tcPr>
            <w:tcW w:w="2740" w:type="dxa"/>
            <w:vAlign w:val="bottom"/>
          </w:tcPr>
          <w:p>
            <w:pPr>
              <w:ind w:left="2240"/>
              <w:spacing w:after="0"/>
              <w:rPr>
                <w:sz w:val="20"/>
                <w:szCs w:val="20"/>
                <w:color w:val="auto"/>
              </w:rPr>
            </w:pPr>
            <w:r>
              <w:rPr>
                <w:rFonts w:ascii="Arial" w:cs="Arial" w:eastAsia="Arial" w:hAnsi="Arial"/>
                <w:sz w:val="18"/>
                <w:szCs w:val="18"/>
                <w:color w:val="auto"/>
              </w:rPr>
              <w:t>18.5</w:t>
            </w:r>
          </w:p>
        </w:tc>
      </w:tr>
      <w:tr>
        <w:trPr>
          <w:trHeight w:val="432"/>
        </w:trPr>
        <w:tc>
          <w:tcPr>
            <w:tcW w:w="440" w:type="dxa"/>
            <w:vAlign w:val="bottom"/>
          </w:tcPr>
          <w:p>
            <w:pPr>
              <w:spacing w:after="0"/>
              <w:rPr>
                <w:sz w:val="20"/>
                <w:szCs w:val="20"/>
                <w:color w:val="auto"/>
              </w:rPr>
            </w:pPr>
            <w:r>
              <w:rPr>
                <w:rFonts w:ascii="Arial" w:cs="Arial" w:eastAsia="Arial" w:hAnsi="Arial"/>
                <w:sz w:val="18"/>
                <w:szCs w:val="18"/>
                <w:b w:val="1"/>
                <w:bCs w:val="1"/>
                <w:color w:val="auto"/>
              </w:rPr>
              <w:t>3.</w:t>
            </w:r>
          </w:p>
        </w:tc>
        <w:tc>
          <w:tcPr>
            <w:tcW w:w="4300" w:type="dxa"/>
            <w:vAlign w:val="bottom"/>
          </w:tcPr>
          <w:p>
            <w:pPr>
              <w:ind w:left="20"/>
              <w:spacing w:after="0"/>
              <w:rPr>
                <w:sz w:val="20"/>
                <w:szCs w:val="20"/>
                <w:color w:val="auto"/>
              </w:rPr>
            </w:pPr>
            <w:r>
              <w:rPr>
                <w:rFonts w:ascii="Arial" w:cs="Arial" w:eastAsia="Arial" w:hAnsi="Arial"/>
                <w:sz w:val="18"/>
                <w:szCs w:val="18"/>
                <w:color w:val="auto"/>
              </w:rPr>
              <w:t>ADMINISTRATION.</w:t>
            </w:r>
          </w:p>
        </w:tc>
        <w:tc>
          <w:tcPr>
            <w:tcW w:w="2740" w:type="dxa"/>
            <w:vAlign w:val="bottom"/>
          </w:tcPr>
          <w:p>
            <w:pPr>
              <w:spacing w:after="0"/>
              <w:rPr>
                <w:sz w:val="24"/>
                <w:szCs w:val="24"/>
                <w:color w:val="auto"/>
              </w:rPr>
            </w:pPr>
          </w:p>
        </w:tc>
      </w:tr>
    </w:tbl>
    <w:p>
      <w:pPr>
        <w:spacing w:after="0" w:line="198" w:lineRule="exact"/>
        <w:rPr>
          <w:sz w:val="20"/>
          <w:szCs w:val="20"/>
          <w:color w:val="auto"/>
        </w:rPr>
      </w:pPr>
    </w:p>
    <w:p>
      <w:pPr>
        <w:ind w:right="80" w:firstLine="816"/>
        <w:spacing w:after="0" w:line="292"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To the extent permitted under Applicable Law, the Articles of Association and any other governing document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shall be administered by the Committee. In the event that the Board does not appoint or establish a committee to administer this Plan, this Plan shall be administered by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 that are stated to be vested in the Committee, and shall not be restricted or limited from exercising all rights, powers and authorities under this Plan or Applicable Law.</w:t>
      </w:r>
    </w:p>
    <w:p>
      <w:pPr>
        <w:spacing w:after="0" w:line="161" w:lineRule="exact"/>
        <w:rPr>
          <w:sz w:val="20"/>
          <w:szCs w:val="20"/>
          <w:color w:val="auto"/>
        </w:rPr>
      </w:pPr>
    </w:p>
    <w:p>
      <w:pPr>
        <w:ind w:firstLine="816"/>
        <w:spacing w:after="0" w:line="25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The Board shall appoint the members of the Committee, may from time to time remove members from, or add members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33" w:name="page234"/>
    <w:bookmarkEnd w:id="233"/>
    <w:p>
      <w:pPr>
        <w:ind w:right="140" w:firstLine="816"/>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Subject to the terms and conditions of this Plan, any mandatory provisions of Applicable Law and any provisions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84" w:lineRule="exact"/>
        <w:rPr>
          <w:sz w:val="20"/>
          <w:szCs w:val="20"/>
          <w:color w:val="auto"/>
        </w:rPr>
      </w:pPr>
    </w:p>
    <w:p>
      <w:pPr>
        <w:ind w:left="2420" w:hanging="1116"/>
        <w:spacing w:after="0"/>
        <w:tabs>
          <w:tab w:leader="none" w:pos="24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225" w:lineRule="exact"/>
        <w:rPr>
          <w:rFonts w:ascii="Arial" w:cs="Arial" w:eastAsia="Arial" w:hAnsi="Arial"/>
          <w:sz w:val="18"/>
          <w:szCs w:val="18"/>
          <w:color w:val="auto"/>
        </w:rPr>
      </w:pPr>
    </w:p>
    <w:p>
      <w:pPr>
        <w:ind w:left="660" w:right="200" w:firstLine="644"/>
        <w:spacing w:after="0" w:line="342" w:lineRule="auto"/>
        <w:tabs>
          <w:tab w:leader="none" w:pos="238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grants of Awards and setting the terms and provisions of Award Agreements (which need not be identical) and any other agreements or instruments under which Awards are made, including, but not limited to, the number of Shares underlying each Award,</w:t>
      </w:r>
    </w:p>
    <w:p>
      <w:pPr>
        <w:spacing w:after="0" w:line="123" w:lineRule="exact"/>
        <w:rPr>
          <w:rFonts w:ascii="Arial" w:cs="Arial" w:eastAsia="Arial" w:hAnsi="Arial"/>
          <w:sz w:val="16"/>
          <w:szCs w:val="16"/>
          <w:color w:val="auto"/>
        </w:rPr>
      </w:pPr>
    </w:p>
    <w:p>
      <w:pPr>
        <w:ind w:left="2380" w:hanging="1076"/>
        <w:spacing w:after="0"/>
        <w:tabs>
          <w:tab w:leader="none" w:pos="23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225" w:lineRule="exact"/>
        <w:rPr>
          <w:rFonts w:ascii="Arial" w:cs="Arial" w:eastAsia="Arial" w:hAnsi="Arial"/>
          <w:sz w:val="18"/>
          <w:szCs w:val="18"/>
          <w:color w:val="auto"/>
        </w:rPr>
      </w:pPr>
    </w:p>
    <w:p>
      <w:pPr>
        <w:ind w:left="660" w:firstLine="644"/>
        <w:spacing w:after="0" w:line="291" w:lineRule="auto"/>
        <w:tabs>
          <w:tab w:leader="none" w:pos="237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terms, conditions and restrictions applicable to each Award (which need not be identical) and any Shares acquired upon the exercise or (if applicable) vesting thereof, including, without limitation,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166" w:lineRule="exact"/>
        <w:rPr>
          <w:rFonts w:ascii="Arial" w:cs="Arial" w:eastAsia="Arial" w:hAnsi="Arial"/>
          <w:sz w:val="16"/>
          <w:szCs w:val="16"/>
          <w:color w:val="auto"/>
        </w:rPr>
      </w:pPr>
    </w:p>
    <w:p>
      <w:pPr>
        <w:ind w:left="660" w:right="60" w:firstLine="644"/>
        <w:spacing w:after="0" w:line="277" w:lineRule="auto"/>
        <w:tabs>
          <w:tab w:leader="none" w:pos="23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the vesting thereof, including with respect to the period following a Grantee’s termination of employment,</w:t>
      </w:r>
    </w:p>
    <w:p>
      <w:pPr>
        <w:spacing w:after="0" w:line="170" w:lineRule="exact"/>
        <w:rPr>
          <w:rFonts w:ascii="Arial" w:cs="Arial" w:eastAsia="Arial" w:hAnsi="Arial"/>
          <w:sz w:val="18"/>
          <w:szCs w:val="18"/>
          <w:color w:val="auto"/>
        </w:rPr>
      </w:pPr>
    </w:p>
    <w:p>
      <w:pPr>
        <w:ind w:left="2380" w:hanging="1076"/>
        <w:spacing w:after="0"/>
        <w:tabs>
          <w:tab w:leader="none" w:pos="23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interpretation of this Plan and the meaning, interpretation and applicability of terms referred to in Applicable Laws,</w:t>
      </w:r>
    </w:p>
    <w:p>
      <w:pPr>
        <w:spacing w:after="0" w:line="236" w:lineRule="exact"/>
        <w:rPr>
          <w:rFonts w:ascii="Arial" w:cs="Arial" w:eastAsia="Arial" w:hAnsi="Arial"/>
          <w:sz w:val="17"/>
          <w:szCs w:val="17"/>
          <w:color w:val="auto"/>
        </w:rPr>
      </w:pPr>
    </w:p>
    <w:p>
      <w:pPr>
        <w:ind w:left="660" w:right="340" w:firstLine="644"/>
        <w:spacing w:after="0" w:line="277" w:lineRule="auto"/>
        <w:tabs>
          <w:tab w:leader="none" w:pos="233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policies, guidelines, rules and regulations relating to and for carrying out this Plan, and any amendment, supplement or rescission thereof, as it may deem appropriate,</w:t>
      </w:r>
    </w:p>
    <w:p>
      <w:pPr>
        <w:spacing w:after="0" w:line="170" w:lineRule="exact"/>
        <w:rPr>
          <w:rFonts w:ascii="Arial" w:cs="Arial" w:eastAsia="Arial" w:hAnsi="Arial"/>
          <w:sz w:val="18"/>
          <w:szCs w:val="18"/>
          <w:color w:val="auto"/>
        </w:rPr>
      </w:pPr>
    </w:p>
    <w:p>
      <w:pPr>
        <w:ind w:left="660" w:right="380" w:firstLine="644"/>
        <w:spacing w:after="0" w:line="263" w:lineRule="auto"/>
        <w:tabs>
          <w:tab w:leader="none" w:pos="229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183" w:lineRule="exact"/>
        <w:rPr>
          <w:rFonts w:ascii="Arial" w:cs="Arial" w:eastAsia="Arial" w:hAnsi="Arial"/>
          <w:sz w:val="18"/>
          <w:szCs w:val="18"/>
          <w:color w:val="auto"/>
        </w:rPr>
      </w:pPr>
    </w:p>
    <w:p>
      <w:pPr>
        <w:ind w:left="2380" w:hanging="1076"/>
        <w:spacing w:after="0"/>
        <w:tabs>
          <w:tab w:leader="none" w:pos="23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Fair Market Value of the Shares or other property,</w:t>
      </w:r>
    </w:p>
    <w:p>
      <w:pPr>
        <w:spacing w:after="0" w:line="225" w:lineRule="exact"/>
        <w:rPr>
          <w:rFonts w:ascii="Arial" w:cs="Arial" w:eastAsia="Arial" w:hAnsi="Arial"/>
          <w:sz w:val="18"/>
          <w:szCs w:val="18"/>
          <w:color w:val="auto"/>
        </w:rPr>
      </w:pPr>
    </w:p>
    <w:p>
      <w:pPr>
        <w:ind w:left="660" w:right="40" w:firstLine="644"/>
        <w:spacing w:after="0" w:line="277" w:lineRule="auto"/>
        <w:tabs>
          <w:tab w:leader="none" w:pos="241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w:t>
      </w:r>
    </w:p>
    <w:p>
      <w:pPr>
        <w:spacing w:after="0" w:line="170" w:lineRule="exact"/>
        <w:rPr>
          <w:rFonts w:ascii="Arial" w:cs="Arial" w:eastAsia="Arial" w:hAnsi="Arial"/>
          <w:sz w:val="18"/>
          <w:szCs w:val="18"/>
          <w:color w:val="auto"/>
        </w:rPr>
      </w:pPr>
    </w:p>
    <w:p>
      <w:pPr>
        <w:ind w:left="660" w:right="260" w:firstLine="644"/>
        <w:spacing w:after="0" w:line="277" w:lineRule="auto"/>
        <w:tabs>
          <w:tab w:leader="none" w:pos="237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authorization and approval of conversion, substitution, cancellation or suspension under and in accordance with this Plan of any or all Awards or Shares,</w:t>
      </w:r>
    </w:p>
    <w:p>
      <w:pPr>
        <w:spacing w:after="0" w:line="170" w:lineRule="exact"/>
        <w:rPr>
          <w:rFonts w:ascii="Arial" w:cs="Arial" w:eastAsia="Arial" w:hAnsi="Arial"/>
          <w:sz w:val="18"/>
          <w:szCs w:val="18"/>
          <w:color w:val="auto"/>
        </w:rPr>
      </w:pPr>
    </w:p>
    <w:p>
      <w:pPr>
        <w:ind w:left="660" w:right="80" w:firstLine="644"/>
        <w:spacing w:after="0" w:line="259" w:lineRule="auto"/>
        <w:tabs>
          <w:tab w:leader="none" w:pos="233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amendment, modification, waiver or supplement of the terms of each outstanding Award (with the consent of the applicable Grantee, if such amendments refers to the increase of the Exercise Price of Awards or reduction of the number of Shared underlying an Award (but, in each case, other than as a result of an adjustment or exercise of rights in accordance with Section 14)) unless otherwise provided under the terms of this Plan,</w:t>
      </w:r>
    </w:p>
    <w:p>
      <w:pPr>
        <w:spacing w:after="0" w:line="294" w:lineRule="exact"/>
        <w:rPr>
          <w:rFonts w:ascii="Arial" w:cs="Arial" w:eastAsia="Arial" w:hAnsi="Arial"/>
          <w:sz w:val="18"/>
          <w:szCs w:val="18"/>
          <w:color w:val="auto"/>
        </w:rPr>
      </w:pPr>
    </w:p>
    <w:p>
      <w:pPr>
        <w:ind w:left="5580" w:hanging="99"/>
        <w:spacing w:after="0"/>
        <w:tabs>
          <w:tab w:leader="none" w:pos="55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4" w:name="page235"/>
    <w:bookmarkEnd w:id="234"/>
    <w:p>
      <w:pPr>
        <w:jc w:val="both"/>
        <w:ind w:left="660" w:firstLine="644"/>
        <w:spacing w:after="0" w:line="279" w:lineRule="auto"/>
        <w:tabs>
          <w:tab w:leader="none" w:pos="234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and subject to the provisions of Applicable Law, to grant to a Grantee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pacing w:after="0" w:line="171" w:lineRule="exact"/>
        <w:rPr>
          <w:rFonts w:ascii="Arial" w:cs="Arial" w:eastAsia="Arial" w:hAnsi="Arial"/>
          <w:sz w:val="17"/>
          <w:szCs w:val="17"/>
          <w:color w:val="auto"/>
        </w:rPr>
      </w:pPr>
    </w:p>
    <w:p>
      <w:pPr>
        <w:jc w:val="both"/>
        <w:ind w:left="660" w:right="320" w:firstLine="644"/>
        <w:spacing w:after="0" w:line="263" w:lineRule="auto"/>
        <w:tabs>
          <w:tab w:leader="none" w:pos="23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183" w:lineRule="exact"/>
        <w:rPr>
          <w:rFonts w:ascii="Arial" w:cs="Arial" w:eastAsia="Arial" w:hAnsi="Arial"/>
          <w:sz w:val="18"/>
          <w:szCs w:val="18"/>
          <w:color w:val="auto"/>
        </w:rPr>
      </w:pPr>
    </w:p>
    <w:p>
      <w:pPr>
        <w:ind w:left="2320" w:hanging="1016"/>
        <w:spacing w:after="0"/>
        <w:tabs>
          <w:tab w:leader="none" w:pos="232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other matter which is necessary or desirable for, or incidental to, the administration of this Plan and any Award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07" w:lineRule="exact"/>
        <w:rPr>
          <w:sz w:val="20"/>
          <w:szCs w:val="20"/>
          <w:color w:val="auto"/>
        </w:rPr>
      </w:pPr>
    </w:p>
    <w:p>
      <w:pPr>
        <w:jc w:val="both"/>
        <w:ind w:right="140" w:firstLine="816"/>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The authority granted hereunder includes the authority to modify Awards to eligible individuals who are foreign nationals or are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who are employed outside Israel to recognize differences in local law, tax policy or custom, in order to effectuate the purposes of this Plan but without amending this Plan.</w:t>
      </w:r>
    </w:p>
    <w:p>
      <w:pPr>
        <w:spacing w:after="0" w:line="176" w:lineRule="exact"/>
        <w:rPr>
          <w:sz w:val="20"/>
          <w:szCs w:val="20"/>
          <w:color w:val="auto"/>
        </w:rPr>
      </w:pPr>
    </w:p>
    <w:p>
      <w:pPr>
        <w:ind w:right="180" w:firstLine="816"/>
        <w:spacing w:after="0" w:line="261"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The Board and the Committee shall be free at all times to make such determination and take such actions as they deem fit.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180" w:lineRule="exact"/>
        <w:rPr>
          <w:sz w:val="20"/>
          <w:szCs w:val="20"/>
          <w:color w:val="auto"/>
        </w:rPr>
      </w:pPr>
    </w:p>
    <w:p>
      <w:pPr>
        <w:ind w:right="60" w:firstLine="816"/>
        <w:spacing w:after="0" w:line="258"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All decisions, determinations, and interpretations of the Committee, the Board and the Company under this Plan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Laws to any Grantee or any Awards. No member of the Committee or the Board shall be liable to any Grantee for any action taken or determination made in good faith with respect to this Plan or any Award granted hereunder.</w:t>
      </w:r>
    </w:p>
    <w:p>
      <w:pPr>
        <w:spacing w:after="0" w:line="183" w:lineRule="exact"/>
        <w:rPr>
          <w:sz w:val="20"/>
          <w:szCs w:val="20"/>
          <w:color w:val="auto"/>
        </w:rPr>
      </w:pPr>
    </w:p>
    <w:p>
      <w:pPr>
        <w:ind w:right="40" w:firstLine="816"/>
        <w:spacing w:after="0" w:line="26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Any officer of the Company shall have the authority to act on behalf of the Company with respect to any matter, right,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or election which is the responsibility of or which is allocated to the Company herein, provided the officer has apparent authority with respect to such matter, right, obligation, determination or election.</w:t>
      </w:r>
    </w:p>
    <w:p>
      <w:pPr>
        <w:spacing w:after="0" w:line="180"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1" w:lineRule="exact"/>
        <w:rPr>
          <w:sz w:val="20"/>
          <w:szCs w:val="20"/>
          <w:color w:val="auto"/>
        </w:rPr>
      </w:pPr>
    </w:p>
    <w:p>
      <w:pPr>
        <w:ind w:right="100" w:firstLine="816"/>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Awards may be granted to Service Providers of the Company or any Affiliate thereof, taking into account the qualification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each tax regime pursuant to which such Awards are granted.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5" w:name="page236"/>
    <w:bookmarkEnd w:id="235"/>
    <w:p>
      <w:pPr>
        <w:jc w:val="both"/>
        <w:ind w:right="120" w:firstLine="816"/>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Awards may differ in number of Shares covered thereby, the terms and conditions applying to them or on the Grantees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80"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21" w:lineRule="exact"/>
        <w:rPr>
          <w:sz w:val="20"/>
          <w:szCs w:val="20"/>
          <w:color w:val="auto"/>
        </w:rPr>
      </w:pPr>
    </w:p>
    <w:p>
      <w:pPr>
        <w:ind w:right="100" w:firstLine="816"/>
        <w:spacing w:after="0" w:line="25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The maximum aggregate number of Shares that may be issued under this Plan shall initially be 3,626,200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(the “Pool”) (except and as adjusted pursuant to Section 14.1 of this Plan and for Prior Plan Awards eligible for reuse pursuant to the following paragraph), or such other number as the Board may determine from time to time (without the need to amend the Plan in case of such determination). However, except as adjusted pursuant to Section 14.1, in no event shall more than such number of Shares included in the Pool be available for issuance pursuant to the exercise of Incentive Stock Options (the “ISO Share Issuance Limit”).</w:t>
      </w:r>
    </w:p>
    <w:p>
      <w:pPr>
        <w:spacing w:after="0" w:line="183" w:lineRule="exact"/>
        <w:rPr>
          <w:sz w:val="20"/>
          <w:szCs w:val="20"/>
          <w:color w:val="auto"/>
        </w:rPr>
      </w:pPr>
    </w:p>
    <w:p>
      <w:pPr>
        <w:ind w:right="160" w:firstLine="816"/>
        <w:spacing w:after="0" w:line="25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Any Share underlying an Award granted hereunder or any Prior Plan Award that has expired or was cancelled,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forfeited or repurchased, for any reason, without having been exercised, shall, automatically and without any further action on the part of the Company or any Grantee, again be available for grant of Awards and Shares issued upon exercise or (if applicable) vesting thereof for the purposes of this Plan (unless this Plan shall have been terminated) or unless the Board determines otherwise. Such Shares may, in whole or in part, be authorized but unissued Shares, treasury shares (dormant shares) or Shares otherwise that shall have been or may be repurchased by the Company (to the extent permitted pursuant to the Companies Law). Any Shares under the Pool that are not subject to outstanding or exercised Awards at the termination of this Plan shall cease to be reserved for the purpose of this Plan.</w:t>
      </w:r>
    </w:p>
    <w:p>
      <w:pPr>
        <w:spacing w:after="0" w:line="193"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Award granted pursuant to this Plan shall be evidenced by a written agreement between the Company and the Grantee or a written notice delivered by the Company (the “Award Agreement”),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jc w:val="right"/>
              <w:ind w:right="730"/>
              <w:spacing w:after="0"/>
              <w:rPr>
                <w:sz w:val="20"/>
                <w:szCs w:val="20"/>
                <w:color w:val="auto"/>
              </w:rPr>
            </w:pPr>
            <w:r>
              <w:rPr>
                <w:rFonts w:ascii="Arial" w:cs="Arial" w:eastAsia="Arial" w:hAnsi="Arial"/>
                <w:sz w:val="18"/>
                <w:szCs w:val="18"/>
                <w:b w:val="1"/>
                <w:bCs w:val="1"/>
                <w:color w:val="auto"/>
              </w:rPr>
              <w:t>6.1</w:t>
            </w:r>
          </w:p>
        </w:tc>
        <w:tc>
          <w:tcPr>
            <w:tcW w:w="9200" w:type="dxa"/>
            <w:vAlign w:val="bottom"/>
            <w:gridSpan w:val="3"/>
          </w:tcPr>
          <w:p>
            <w:pPr>
              <w:spacing w:after="0"/>
              <w:rPr>
                <w:sz w:val="20"/>
                <w:szCs w:val="20"/>
                <w:color w:val="auto"/>
              </w:rPr>
            </w:pPr>
            <w:r>
              <w:rPr>
                <w:rFonts w:ascii="Arial" w:cs="Arial" w:eastAsia="Arial" w:hAnsi="Arial"/>
                <w:sz w:val="18"/>
                <w:szCs w:val="18"/>
                <w:color w:val="auto"/>
              </w:rPr>
              <w:t>Number of Shares. Each Award Agreement shall state the number of Shares covered by the Award.</w:t>
            </w:r>
          </w:p>
        </w:tc>
        <w:tc>
          <w:tcPr>
            <w:tcW w:w="0" w:type="dxa"/>
            <w:vAlign w:val="bottom"/>
          </w:tcPr>
          <w:p>
            <w:pPr>
              <w:spacing w:after="0"/>
              <w:rPr>
                <w:sz w:val="1"/>
                <w:szCs w:val="1"/>
                <w:color w:val="auto"/>
              </w:rPr>
            </w:pPr>
          </w:p>
        </w:tc>
      </w:tr>
      <w:tr>
        <w:trPr>
          <w:trHeight w:val="20"/>
        </w:trPr>
        <w:tc>
          <w:tcPr>
            <w:tcW w:w="186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6.2</w:t>
            </w:r>
          </w:p>
        </w:tc>
        <w:tc>
          <w:tcPr>
            <w:tcW w:w="10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60" w:type="dxa"/>
            <w:vAlign w:val="bottom"/>
            <w:vMerge w:val="continue"/>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w w:val="90"/>
              </w:rPr>
              <w:t>Type of Award. Each Award Agreement may state the type of Award granted thereunder, provided that the tax treatment of any</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16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60" w:type="dxa"/>
            <w:vAlign w:val="bottom"/>
            <w:gridSpan w:val="4"/>
          </w:tcPr>
          <w:p>
            <w:pPr>
              <w:spacing w:after="0"/>
              <w:rPr>
                <w:sz w:val="20"/>
                <w:szCs w:val="20"/>
                <w:color w:val="auto"/>
              </w:rPr>
            </w:pPr>
            <w:r>
              <w:rPr>
                <w:rFonts w:ascii="Arial" w:cs="Arial" w:eastAsia="Arial" w:hAnsi="Arial"/>
                <w:sz w:val="18"/>
                <w:szCs w:val="18"/>
                <w:color w:val="auto"/>
              </w:rPr>
              <w:t>Award, whether or not stated in the Award Agreement, shall be as determined in accordance with Applicable Laws.</w:t>
            </w:r>
          </w:p>
        </w:tc>
        <w:tc>
          <w:tcPr>
            <w:tcW w:w="0" w:type="dxa"/>
            <w:vAlign w:val="bottom"/>
          </w:tcPr>
          <w:p>
            <w:pPr>
              <w:spacing w:after="0"/>
              <w:rPr>
                <w:sz w:val="1"/>
                <w:szCs w:val="1"/>
                <w:color w:val="auto"/>
              </w:rPr>
            </w:pPr>
          </w:p>
        </w:tc>
      </w:tr>
      <w:tr>
        <w:trPr>
          <w:trHeight w:val="391"/>
        </w:trPr>
        <w:tc>
          <w:tcPr>
            <w:tcW w:w="1860" w:type="dxa"/>
            <w:vAlign w:val="bottom"/>
          </w:tcPr>
          <w:p>
            <w:pPr>
              <w:jc w:val="right"/>
              <w:ind w:right="730"/>
              <w:spacing w:after="0"/>
              <w:rPr>
                <w:sz w:val="20"/>
                <w:szCs w:val="20"/>
                <w:color w:val="auto"/>
              </w:rPr>
            </w:pPr>
            <w:r>
              <w:rPr>
                <w:rFonts w:ascii="Arial" w:cs="Arial" w:eastAsia="Arial" w:hAnsi="Arial"/>
                <w:sz w:val="18"/>
                <w:szCs w:val="18"/>
                <w:b w:val="1"/>
                <w:bCs w:val="1"/>
                <w:color w:val="auto"/>
              </w:rPr>
              <w:t>6.3</w:t>
            </w:r>
          </w:p>
        </w:tc>
        <w:tc>
          <w:tcPr>
            <w:tcW w:w="9200" w:type="dxa"/>
            <w:vAlign w:val="bottom"/>
            <w:gridSpan w:val="3"/>
          </w:tcPr>
          <w:p>
            <w:pPr>
              <w:spacing w:after="0"/>
              <w:rPr>
                <w:sz w:val="20"/>
                <w:szCs w:val="20"/>
                <w:color w:val="auto"/>
              </w:rPr>
            </w:pPr>
            <w:r>
              <w:rPr>
                <w:rFonts w:ascii="Arial" w:cs="Arial" w:eastAsia="Arial" w:hAnsi="Arial"/>
                <w:sz w:val="18"/>
                <w:szCs w:val="18"/>
                <w:color w:val="auto"/>
                <w:w w:val="89"/>
              </w:rPr>
              <w:t>Exercise Price. Each Award Agreement shall state the Exercise Price, which shall not be less than NIS 0.1. Unless otherwise set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forth in this Plan, an Exercise Price of an Award of less than the par value of the Shares shall comply with Section 304 of the Companies Law, 1999, as amended. Subject to Section 3 and to the foregoing, the Committee may reduce the Exercise Price of any outstanding Award, on terms and subject to such conditions as it deems advisable. The Exercise Price shall also be subject to adjustment as provided in Section 14 hereof.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6" w:name="page237"/>
    <w:bookmarkEnd w:id="236"/>
    <w:p>
      <w:pPr>
        <w:ind w:right="20" w:firstLine="816"/>
        <w:spacing w:after="0" w:line="285"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An Award may be exercised, as to any or all Shares as to which the Award has become exercisable, by</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delivered in person or by mail (or such other methods of delivery prescribed by the Company) to the Chief Financial Officer of the Company or to such other person as determined by the Committee,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either in (i) cash,</w:t>
      </w:r>
    </w:p>
    <w:p>
      <w:pPr>
        <w:spacing w:after="0" w:line="3" w:lineRule="exact"/>
        <w:rPr>
          <w:sz w:val="20"/>
          <w:szCs w:val="20"/>
          <w:color w:val="auto"/>
        </w:rPr>
      </w:pPr>
    </w:p>
    <w:p>
      <w:pPr>
        <w:ind w:firstLine="8"/>
        <w:spacing w:after="0" w:line="251" w:lineRule="auto"/>
        <w:tabs>
          <w:tab w:leader="none" w:pos="2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the Company’s shares are listed for trading on any securities exchange or over-the-counter market,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 A Grantee may not exercise Awards unless the aggregate Exercise Price thereof is equal to or in excess of the lower of: (a) the aggregate Exercise Price for all Shares as to which the Award has become exercisable at such time; or (b) US$2,000.</w:t>
      </w:r>
    </w:p>
    <w:p>
      <w:pPr>
        <w:spacing w:after="0" w:line="19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Notwithstanding the above, as long as the Company's Shares are listed for trading on Tel-Aviv Stock Exchange Ltd. conversion shall not be executed on the record date for the distribution of bonus shares, offer by way of rights, distribution of a dividend, consolidation of capital, splitting of capital or reduction of capital (each of the aforesaid hereinafter referred to as “company event”).</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6.5</w:t>
            </w:r>
          </w:p>
        </w:tc>
        <w:tc>
          <w:tcPr>
            <w:tcW w:w="560" w:type="dxa"/>
            <w:vAlign w:val="bottom"/>
          </w:tcPr>
          <w:p>
            <w:pPr>
              <w:spacing w:after="0"/>
              <w:rPr>
                <w:sz w:val="17"/>
                <w:szCs w:val="17"/>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Term and Vesting of Awards.</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6.5.1</w:t>
            </w:r>
          </w:p>
        </w:tc>
        <w:tc>
          <w:tcPr>
            <w:tcW w:w="8360" w:type="dxa"/>
            <w:vAlign w:val="bottom"/>
            <w:gridSpan w:val="2"/>
          </w:tcPr>
          <w:p>
            <w:pPr>
              <w:ind w:left="360"/>
              <w:spacing w:after="0"/>
              <w:rPr>
                <w:sz w:val="20"/>
                <w:szCs w:val="20"/>
                <w:color w:val="auto"/>
              </w:rPr>
            </w:pPr>
            <w:r>
              <w:rPr>
                <w:rFonts w:ascii="Arial" w:cs="Arial" w:eastAsia="Arial" w:hAnsi="Arial"/>
                <w:sz w:val="18"/>
                <w:szCs w:val="18"/>
                <w:color w:val="auto"/>
                <w:w w:val="90"/>
              </w:rPr>
              <w:t>Each Award Agreement shall provide the vesting schedule for the Award as determined by the Committee. The</w:t>
            </w:r>
          </w:p>
        </w:tc>
      </w:tr>
    </w:tbl>
    <w:p>
      <w:pPr>
        <w:ind w:right="60"/>
        <w:spacing w:after="0" w:line="252" w:lineRule="auto"/>
        <w:rPr>
          <w:sz w:val="20"/>
          <w:szCs w:val="20"/>
          <w:color w:val="auto"/>
        </w:rPr>
      </w:pPr>
      <w:r>
        <w:rPr>
          <w:rFonts w:ascii="Arial" w:cs="Arial" w:eastAsia="Arial" w:hAnsi="Arial"/>
          <w:sz w:val="18"/>
          <w:szCs w:val="18"/>
          <w:color w:val="auto"/>
        </w:rPr>
        <w:t>Committee shall have 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188" w:lineRule="exact"/>
        <w:rPr>
          <w:sz w:val="20"/>
          <w:szCs w:val="20"/>
          <w:color w:val="auto"/>
        </w:rPr>
      </w:pPr>
    </w:p>
    <w:p>
      <w:pPr>
        <w:ind w:firstLine="1531"/>
        <w:spacing w:after="0" w:line="255" w:lineRule="auto"/>
        <w:rPr>
          <w:sz w:val="20"/>
          <w:szCs w:val="20"/>
          <w:color w:val="auto"/>
        </w:rPr>
      </w:pPr>
      <w:r>
        <w:rPr>
          <w:rFonts w:ascii="Arial" w:cs="Arial" w:eastAsia="Arial" w:hAnsi="Arial"/>
          <w:sz w:val="18"/>
          <w:szCs w:val="18"/>
          <w:b w:val="1"/>
          <w:bCs w:val="1"/>
          <w:color w:val="auto"/>
        </w:rPr>
        <w:t xml:space="preserve">6.5.2 </w:t>
      </w:r>
      <w:r>
        <w:rPr>
          <w:rFonts w:ascii="Arial" w:cs="Arial" w:eastAsia="Arial" w:hAnsi="Arial"/>
          <w:sz w:val="18"/>
          <w:szCs w:val="18"/>
          <w:color w:val="auto"/>
        </w:rPr>
        <w:t>The Award Agreement may contain performance goals and measurements (which, in case of 102 Awards, shall, if then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be subject to obtaining a specific tax ruling or determination from the ITA), and the provisions with respect to any Award need not be the same as the provisions with respect to any other Award. Such performance goals may include, but are not limited to, sales, earnings before interest and taxes, return on investment, earnings per share,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37" w:name="page238"/>
    <w:bookmarkEnd w:id="237"/>
    <w:p>
      <w:pPr>
        <w:ind w:right="60" w:firstLine="1531"/>
        <w:spacing w:after="0" w:line="258" w:lineRule="auto"/>
        <w:rPr>
          <w:sz w:val="20"/>
          <w:szCs w:val="20"/>
          <w:color w:val="auto"/>
        </w:rPr>
      </w:pPr>
      <w:r>
        <w:rPr>
          <w:rFonts w:ascii="Arial" w:cs="Arial" w:eastAsia="Arial" w:hAnsi="Arial"/>
          <w:sz w:val="18"/>
          <w:szCs w:val="18"/>
          <w:b w:val="1"/>
          <w:bCs w:val="1"/>
          <w:color w:val="auto"/>
        </w:rPr>
        <w:t xml:space="preserve">6.5.3 </w:t>
      </w:r>
      <w:r>
        <w:rPr>
          <w:rFonts w:ascii="Arial" w:cs="Arial" w:eastAsia="Arial" w:hAnsi="Arial"/>
          <w:sz w:val="18"/>
          <w:szCs w:val="18"/>
          <w:color w:val="auto"/>
        </w:rPr>
        <w:t>The Exercise Period of an Award will be 10 years from the date of grant of the Award, unless otherwise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6.6</w:t>
            </w:r>
          </w:p>
        </w:tc>
        <w:tc>
          <w:tcPr>
            <w:tcW w:w="560" w:type="dxa"/>
            <w:vAlign w:val="bottom"/>
          </w:tcPr>
          <w:p>
            <w:pPr>
              <w:spacing w:after="0"/>
              <w:rPr>
                <w:sz w:val="17"/>
                <w:szCs w:val="17"/>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Termination.</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6.6.1</w:t>
            </w:r>
          </w:p>
        </w:tc>
        <w:tc>
          <w:tcPr>
            <w:tcW w:w="8580" w:type="dxa"/>
            <w:vAlign w:val="bottom"/>
            <w:gridSpan w:val="2"/>
          </w:tcPr>
          <w:p>
            <w:pPr>
              <w:ind w:left="360"/>
              <w:spacing w:after="0"/>
              <w:rPr>
                <w:sz w:val="20"/>
                <w:szCs w:val="20"/>
                <w:color w:val="auto"/>
              </w:rPr>
            </w:pPr>
            <w:r>
              <w:rPr>
                <w:rFonts w:ascii="Arial" w:cs="Arial" w:eastAsia="Arial" w:hAnsi="Arial"/>
                <w:sz w:val="18"/>
                <w:szCs w:val="18"/>
                <w:color w:val="auto"/>
                <w:w w:val="89"/>
              </w:rPr>
              <w:t>Unless otherwise determined by the Committee, and subject to Section 6.7 hereof, an Award may not be exercised</w:t>
            </w:r>
          </w:p>
        </w:tc>
      </w:tr>
    </w:tbl>
    <w:p>
      <w:pPr>
        <w:jc w:val="both"/>
        <w:ind w:right="100"/>
        <w:spacing w:after="0" w:line="277" w:lineRule="auto"/>
        <w:rPr>
          <w:sz w:val="20"/>
          <w:szCs w:val="20"/>
          <w:color w:val="auto"/>
        </w:rPr>
      </w:pPr>
      <w:r>
        <w:rPr>
          <w:rFonts w:ascii="Arial" w:cs="Arial" w:eastAsia="Arial" w:hAnsi="Arial"/>
          <w:sz w:val="17"/>
          <w:szCs w:val="17"/>
          <w:color w:val="auto"/>
        </w:rPr>
        <w:t>unless the Grantee is then a Service Provider of the Company or an Affiliate thereof or, in the case of an Incentive Stock Option, a company or a parent or subsidiary company of such company issuing or assuming the Option in a transaction to which Section 424(a) of the Code applies, and unless the Grantee has remained continuously so employed since the date of grant of the Award and throughout the vesting dates.</w:t>
      </w:r>
    </w:p>
    <w:p>
      <w:pPr>
        <w:spacing w:after="0" w:line="169" w:lineRule="exact"/>
        <w:rPr>
          <w:sz w:val="20"/>
          <w:szCs w:val="20"/>
          <w:color w:val="auto"/>
        </w:rPr>
      </w:pPr>
    </w:p>
    <w:p>
      <w:pPr>
        <w:ind w:right="40" w:firstLine="1531"/>
        <w:spacing w:after="0" w:line="289" w:lineRule="auto"/>
        <w:rPr>
          <w:sz w:val="20"/>
          <w:szCs w:val="20"/>
          <w:color w:val="auto"/>
        </w:rPr>
      </w:pPr>
      <w:r>
        <w:rPr>
          <w:rFonts w:ascii="Arial" w:cs="Arial" w:eastAsia="Arial" w:hAnsi="Arial"/>
          <w:sz w:val="16"/>
          <w:szCs w:val="16"/>
          <w:b w:val="1"/>
          <w:bCs w:val="1"/>
          <w:color w:val="auto"/>
        </w:rPr>
        <w:t xml:space="preserve">6.6.2 </w:t>
      </w:r>
      <w:r>
        <w:rPr>
          <w:rFonts w:ascii="Arial" w:cs="Arial" w:eastAsia="Arial" w:hAnsi="Arial"/>
          <w:sz w:val="16"/>
          <w:szCs w:val="16"/>
          <w:color w:val="auto"/>
        </w:rPr>
        <w:t>In the event that the employment or service of a Grantee shall terminate (other than by reason of death, Disability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but in any event no later than the date of expiration of the Award’s term as set forth in the Award Agreement or pursuant to this Plan; provided, however, that if the Company (or the Subsidiary or Affiliate, when applicable) shall terminate the Grantee’s employment or service for Cause (as defined below) or if at any time during the Exercise Period (whether prior to and after termination of employment or service, and whether or not the Grantee’s employment or service is terminated by either party as a result thereof), facts or circumstances arise or are discovered with respect to the Grantee that would have constituted Cause, all Awards theretofore granted to such Grantee (whether vested or not) shall, to the extent not theretofore exercised, terminate on the date of such termination (or on such subsequent date on which such facts or circumstances arise or are discovered, as the case may be) unless otherwise determined by the Committee.</w:t>
      </w:r>
    </w:p>
    <w:p>
      <w:pPr>
        <w:spacing w:after="0" w:line="161" w:lineRule="exact"/>
        <w:rPr>
          <w:sz w:val="20"/>
          <w:szCs w:val="20"/>
          <w:color w:val="auto"/>
        </w:rPr>
      </w:pPr>
    </w:p>
    <w:p>
      <w:pPr>
        <w:ind w:firstLine="1531"/>
        <w:spacing w:after="0" w:line="256" w:lineRule="auto"/>
        <w:rPr>
          <w:sz w:val="20"/>
          <w:szCs w:val="20"/>
          <w:color w:val="auto"/>
        </w:rPr>
      </w:pPr>
      <w:r>
        <w:rPr>
          <w:rFonts w:ascii="Arial" w:cs="Arial" w:eastAsia="Arial" w:hAnsi="Arial"/>
          <w:sz w:val="18"/>
          <w:szCs w:val="18"/>
          <w:b w:val="1"/>
          <w:bCs w:val="1"/>
          <w:color w:val="auto"/>
        </w:rPr>
        <w:t xml:space="preserve">6.6.3 </w:t>
      </w:r>
      <w:r>
        <w:rPr>
          <w:rFonts w:ascii="Arial" w:cs="Arial" w:eastAsia="Arial" w:hAnsi="Arial"/>
          <w:sz w:val="18"/>
          <w:szCs w:val="18"/>
          <w:color w:val="auto"/>
        </w:rPr>
        <w:t>Notwithstanding anything to the contrary, the Committee, in its absolute discretion, may, 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it may determine appropriate, extend the periods for which Awards held by any Grantee may continue to vest and be exercisable; it being clarified that such Awards may lose their entitlement to certain tax benefits under Applicable Law as a result of the modification of such Awards and/or in the event that the Award is exercised beyond the later of: (i) 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187" w:lineRule="exact"/>
        <w:rPr>
          <w:sz w:val="20"/>
          <w:szCs w:val="20"/>
          <w:color w:val="auto"/>
        </w:rPr>
      </w:pPr>
    </w:p>
    <w:p>
      <w:pPr>
        <w:ind w:left="1540"/>
        <w:spacing w:after="0"/>
        <w:tabs>
          <w:tab w:leader="none" w:pos="2600" w:val="left"/>
        </w:tabs>
        <w:rPr>
          <w:sz w:val="20"/>
          <w:szCs w:val="20"/>
          <w:color w:val="auto"/>
        </w:rPr>
      </w:pPr>
      <w:r>
        <w:rPr>
          <w:rFonts w:ascii="Arial" w:cs="Arial" w:eastAsia="Arial" w:hAnsi="Arial"/>
          <w:sz w:val="18"/>
          <w:szCs w:val="18"/>
          <w:b w:val="1"/>
          <w:bCs w:val="1"/>
          <w:color w:val="auto"/>
        </w:rPr>
        <w:t>6.6.4</w:t>
      </w:r>
      <w:r>
        <w:rPr>
          <w:sz w:val="20"/>
          <w:szCs w:val="20"/>
          <w:color w:val="auto"/>
        </w:rPr>
        <w:tab/>
      </w:r>
      <w:r>
        <w:rPr>
          <w:rFonts w:ascii="Arial" w:cs="Arial" w:eastAsia="Arial" w:hAnsi="Arial"/>
          <w:sz w:val="16"/>
          <w:szCs w:val="16"/>
          <w:color w:val="auto"/>
        </w:rPr>
        <w:t>For purposes of this Plan:</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8" w:name="page239"/>
    <w:bookmarkEnd w:id="238"/>
    <w:p>
      <w:pPr>
        <w:ind w:right="60" w:firstLine="2347"/>
        <w:spacing w:after="0" w:line="277" w:lineRule="auto"/>
        <w:rPr>
          <w:sz w:val="20"/>
          <w:szCs w:val="20"/>
          <w:color w:val="auto"/>
        </w:rPr>
      </w:pPr>
      <w:r>
        <w:rPr>
          <w:rFonts w:ascii="Arial" w:cs="Arial" w:eastAsia="Arial" w:hAnsi="Arial"/>
          <w:sz w:val="17"/>
          <w:szCs w:val="17"/>
          <w:b w:val="1"/>
          <w:bCs w:val="1"/>
          <w:color w:val="auto"/>
        </w:rPr>
        <w:t xml:space="preserve">6.6.4.1 </w:t>
      </w:r>
      <w:r>
        <w:rPr>
          <w:rFonts w:ascii="Arial" w:cs="Arial" w:eastAsia="Arial" w:hAnsi="Arial"/>
          <w:sz w:val="17"/>
          <w:szCs w:val="17"/>
          <w:color w:val="auto"/>
        </w:rPr>
        <w:t>a termination of employment or service of a Grantee shall not be deemed to occur in case of (i) a transition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provided, in case of (i) and (ii) above, that the Grantee has remained continuously employed by and/or in the service of the Company and its Affiliates since the date of grant of the Award and throughout the vesting period; (iii) if the Grantee takes any unpaid leave as set forth in Section 6.8(i) below.</w:t>
      </w:r>
    </w:p>
    <w:p>
      <w:pPr>
        <w:spacing w:after="0" w:line="168" w:lineRule="exact"/>
        <w:rPr>
          <w:sz w:val="20"/>
          <w:szCs w:val="20"/>
          <w:color w:val="auto"/>
        </w:rPr>
      </w:pPr>
    </w:p>
    <w:p>
      <w:pPr>
        <w:ind w:firstLine="2347"/>
        <w:spacing w:after="0" w:line="266" w:lineRule="auto"/>
        <w:rPr>
          <w:sz w:val="20"/>
          <w:szCs w:val="20"/>
          <w:color w:val="auto"/>
        </w:rPr>
      </w:pPr>
      <w:r>
        <w:rPr>
          <w:rFonts w:ascii="Arial" w:cs="Arial" w:eastAsia="Arial" w:hAnsi="Arial"/>
          <w:sz w:val="18"/>
          <w:szCs w:val="18"/>
          <w:b w:val="1"/>
          <w:bCs w:val="1"/>
          <w:color w:val="auto"/>
        </w:rPr>
        <w:t xml:space="preserve">6.6.4.2 </w:t>
      </w:r>
      <w:r>
        <w:rPr>
          <w:rFonts w:ascii="Arial" w:cs="Arial" w:eastAsia="Arial" w:hAnsi="Arial"/>
          <w:sz w:val="18"/>
          <w:szCs w:val="18"/>
          <w:color w:val="auto"/>
        </w:rPr>
        <w:t>An entity or an Affiliate thereof assuming an Award or issuing in substitution thereof in a transaction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424(a) of the Code applies or in a Merger/Sale in accordance with Section 14 shall be deemed as an Affiliate of the Company for purposes of this Section 6.6, unless the Committee determines otherwise.</w:t>
      </w:r>
    </w:p>
    <w:p>
      <w:pPr>
        <w:spacing w:after="0" w:line="176" w:lineRule="exact"/>
        <w:rPr>
          <w:sz w:val="20"/>
          <w:szCs w:val="20"/>
          <w:color w:val="auto"/>
        </w:rPr>
      </w:pPr>
    </w:p>
    <w:p>
      <w:pPr>
        <w:jc w:val="both"/>
        <w:ind w:right="640" w:firstLine="2347"/>
        <w:spacing w:after="0" w:line="266" w:lineRule="auto"/>
        <w:rPr>
          <w:sz w:val="20"/>
          <w:szCs w:val="20"/>
          <w:color w:val="auto"/>
        </w:rPr>
      </w:pPr>
      <w:r>
        <w:rPr>
          <w:rFonts w:ascii="Arial" w:cs="Arial" w:eastAsia="Arial" w:hAnsi="Arial"/>
          <w:sz w:val="18"/>
          <w:szCs w:val="18"/>
          <w:b w:val="1"/>
          <w:bCs w:val="1"/>
          <w:color w:val="auto"/>
        </w:rPr>
        <w:t xml:space="preserve">6.6.4.3 </w:t>
      </w:r>
      <w:r>
        <w:rPr>
          <w:rFonts w:ascii="Arial" w:cs="Arial" w:eastAsia="Arial" w:hAnsi="Arial"/>
          <w:sz w:val="18"/>
          <w:szCs w:val="18"/>
          <w:color w:val="auto"/>
        </w:rPr>
        <w:t>In the case of a Grantee whose principal employer or service recipient is a Subsidiary or Affiliate,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employment shall also be deemed terminated for purposes of this Section 6.6 as of the date on which such principal employer or service recipient ceases to be a Subsidiary or Affiliate.</w:t>
      </w:r>
    </w:p>
    <w:p>
      <w:pPr>
        <w:spacing w:after="0" w:line="176" w:lineRule="exact"/>
        <w:rPr>
          <w:sz w:val="20"/>
          <w:szCs w:val="20"/>
          <w:color w:val="auto"/>
        </w:rPr>
      </w:pPr>
    </w:p>
    <w:p>
      <w:pPr>
        <w:ind w:right="20" w:firstLine="2347"/>
        <w:spacing w:after="0" w:line="286" w:lineRule="auto"/>
        <w:rPr>
          <w:sz w:val="20"/>
          <w:szCs w:val="20"/>
          <w:color w:val="auto"/>
        </w:rPr>
      </w:pPr>
      <w:r>
        <w:rPr>
          <w:rFonts w:ascii="Arial" w:cs="Arial" w:eastAsia="Arial" w:hAnsi="Arial"/>
          <w:sz w:val="16"/>
          <w:szCs w:val="16"/>
          <w:b w:val="1"/>
          <w:bCs w:val="1"/>
          <w:color w:val="auto"/>
        </w:rPr>
        <w:t xml:space="preserve">6.6.4.4 </w:t>
      </w:r>
      <w:r>
        <w:rPr>
          <w:rFonts w:ascii="Arial" w:cs="Arial" w:eastAsia="Arial" w:hAnsi="Arial"/>
          <w:sz w:val="16"/>
          <w:szCs w:val="16"/>
          <w:color w:val="auto"/>
        </w:rPr>
        <w:t>The term “Cause” shall mean (irrespective of, and in addition to, any definition included in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Affiliate, when applicable); (iii) any breach by the Grantee of any material agreement with or of any material duty of the Grantee to the Company or any Subsidiary or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 or (iv) any act which constitutes a breach of a Grantee’s fiduciary duty towards the Company or an Affiliate or Subsidiary,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the Grantee’s unauthorized use, misappropriation, destruction, or diversion of any tangible or intangible asset or corporate opportunity of a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6.7</w:t>
            </w:r>
          </w:p>
        </w:tc>
        <w:tc>
          <w:tcPr>
            <w:tcW w:w="56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Death, Disability or Retirement of Grantee.</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6.7.1</w:t>
            </w:r>
          </w:p>
        </w:tc>
        <w:tc>
          <w:tcPr>
            <w:tcW w:w="8780" w:type="dxa"/>
            <w:vAlign w:val="bottom"/>
            <w:gridSpan w:val="2"/>
          </w:tcPr>
          <w:p>
            <w:pPr>
              <w:ind w:left="360"/>
              <w:spacing w:after="0"/>
              <w:rPr>
                <w:sz w:val="20"/>
                <w:szCs w:val="20"/>
                <w:color w:val="auto"/>
              </w:rPr>
            </w:pPr>
            <w:r>
              <w:rPr>
                <w:rFonts w:ascii="Arial" w:cs="Arial" w:eastAsia="Arial" w:hAnsi="Arial"/>
                <w:sz w:val="18"/>
                <w:szCs w:val="18"/>
                <w:color w:val="auto"/>
                <w:w w:val="92"/>
              </w:rPr>
              <w:t>If a Grantee shall die while employed by, or performing service for, the Company or its Affiliates, or within the three</w:t>
            </w:r>
          </w:p>
        </w:tc>
      </w:tr>
    </w:tbl>
    <w:p>
      <w:pPr>
        <w:ind w:right="20" w:firstLine="8"/>
        <w:spacing w:after="0" w:line="286" w:lineRule="auto"/>
        <w:tabs>
          <w:tab w:leader="none" w:pos="25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Board,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277" w:lineRule="exact"/>
        <w:rPr>
          <w:rFonts w:ascii="Arial" w:cs="Arial" w:eastAsia="Arial" w:hAnsi="Arial"/>
          <w:sz w:val="16"/>
          <w:szCs w:val="16"/>
          <w:color w:val="auto"/>
        </w:rPr>
      </w:pPr>
    </w:p>
    <w:p>
      <w:pPr>
        <w:ind w:left="5540" w:hanging="104"/>
        <w:spacing w:after="0"/>
        <w:tabs>
          <w:tab w:leader="none" w:pos="55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9" w:name="page240"/>
    <w:bookmarkEnd w:id="239"/>
    <w:p>
      <w:pPr>
        <w:jc w:val="both"/>
        <w:ind w:right="160" w:firstLine="1531"/>
        <w:spacing w:after="0" w:line="314" w:lineRule="auto"/>
        <w:rPr>
          <w:sz w:val="20"/>
          <w:szCs w:val="20"/>
          <w:color w:val="auto"/>
        </w:rPr>
      </w:pPr>
      <w:r>
        <w:rPr>
          <w:rFonts w:ascii="Arial" w:cs="Arial" w:eastAsia="Arial" w:hAnsi="Arial"/>
          <w:sz w:val="16"/>
          <w:szCs w:val="16"/>
          <w:b w:val="1"/>
          <w:bCs w:val="1"/>
          <w:color w:val="auto"/>
        </w:rPr>
        <w:t xml:space="preserve">6.7.2 </w:t>
      </w:r>
      <w:r>
        <w:rPr>
          <w:rFonts w:ascii="Arial" w:cs="Arial" w:eastAsia="Arial" w:hAnsi="Arial"/>
          <w:sz w:val="16"/>
          <w:szCs w:val="16"/>
          <w:color w:val="auto"/>
        </w:rPr>
        <w:t>In the event that the employment or service of a Grantee shall terminate on account of such Grantee's Retirement, all</w:t>
      </w:r>
      <w:r>
        <w:rPr>
          <w:rFonts w:ascii="Arial" w:cs="Arial" w:eastAsia="Arial" w:hAnsi="Arial"/>
          <w:sz w:val="16"/>
          <w:szCs w:val="16"/>
          <w:b w:val="1"/>
          <w:bCs w:val="1"/>
          <w:color w:val="auto"/>
        </w:rPr>
        <w:t xml:space="preserve"> </w:t>
      </w:r>
      <w:r>
        <w:rPr>
          <w:rFonts w:ascii="Arial" w:cs="Arial" w:eastAsia="Arial" w:hAnsi="Arial"/>
          <w:sz w:val="16"/>
          <w:szCs w:val="16"/>
          <w:color w:val="auto"/>
        </w:rPr>
        <w:t>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42" w:lineRule="exact"/>
        <w:rPr>
          <w:sz w:val="20"/>
          <w:szCs w:val="20"/>
          <w:color w:val="auto"/>
        </w:rPr>
      </w:pPr>
    </w:p>
    <w:p>
      <w:pPr>
        <w:ind w:right="140" w:firstLine="816"/>
        <w:spacing w:after="0" w:line="258"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Committee provides otherwise, vesting of Awards granted hereunder shall be suspended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clarify, for purposes of this Plan, military leave, statutory maternity or paternity leave or sick leave are not deemed unpaid leave of absence.</w:t>
      </w:r>
    </w:p>
    <w:p>
      <w:pPr>
        <w:spacing w:after="0" w:line="183" w:lineRule="exact"/>
        <w:rPr>
          <w:sz w:val="20"/>
          <w:szCs w:val="20"/>
          <w:color w:val="auto"/>
        </w:rPr>
      </w:pPr>
    </w:p>
    <w:p>
      <w:pPr>
        <w:ind w:right="140" w:firstLine="816"/>
        <w:spacing w:after="0" w:line="287" w:lineRule="auto"/>
        <w:rPr>
          <w:sz w:val="20"/>
          <w:szCs w:val="20"/>
          <w:color w:val="auto"/>
        </w:rPr>
      </w:pPr>
      <w:r>
        <w:rPr>
          <w:rFonts w:ascii="Arial" w:cs="Arial" w:eastAsia="Arial" w:hAnsi="Arial"/>
          <w:sz w:val="16"/>
          <w:szCs w:val="16"/>
          <w:b w:val="1"/>
          <w:bCs w:val="1"/>
          <w:color w:val="auto"/>
        </w:rPr>
        <w:t xml:space="preserve">6.9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Except as otherwise provided in the applicable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w:t>
      </w:r>
    </w:p>
    <w:p>
      <w:pPr>
        <w:spacing w:after="0" w:line="2" w:lineRule="exact"/>
        <w:rPr>
          <w:sz w:val="20"/>
          <w:szCs w:val="20"/>
          <w:color w:val="auto"/>
        </w:rPr>
      </w:pPr>
    </w:p>
    <w:p>
      <w:pPr>
        <w:ind w:right="20" w:firstLine="8"/>
        <w:spacing w:after="0" w:line="251" w:lineRule="auto"/>
        <w:tabs>
          <w:tab w:leader="none" w:pos="21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expiration of a period of three (3) months (or such longer period of time as determined by the Board,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194" w:lineRule="exact"/>
        <w:rPr>
          <w:sz w:val="20"/>
          <w:szCs w:val="20"/>
          <w:color w:val="auto"/>
        </w:rPr>
      </w:pPr>
    </w:p>
    <w:p>
      <w:pPr>
        <w:ind w:firstLine="816"/>
        <w:spacing w:after="0" w:line="268"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u w:val="single" w:color="auto"/>
          <w:color w:val="auto"/>
        </w:rPr>
        <w:t>Voting Proxy</w:t>
      </w:r>
      <w:r>
        <w:rPr>
          <w:rFonts w:ascii="Arial" w:cs="Arial" w:eastAsia="Arial" w:hAnsi="Arial"/>
          <w:sz w:val="17"/>
          <w:szCs w:val="17"/>
          <w:color w:val="auto"/>
        </w:rPr>
        <w:t>. Until immediately after the listing for trading on a stock exchange or market or trading system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(or the Successor Corporation’s) shares, the Shares subject to an Award or to be issued pursuant to an Award or any other Securities, shall, unless otherwise determined by the Committee, be subject to an irrevocable proxy and power of attorney by the Grantee or the Trustee (if so requested from the Trustee), as the case may be, to the Company, which shall designate such person or persons (with a right of substitution) from time to time as determined by the Committee (and in the absence of such determination, the CEO or Chairman of the Board, ex officio). The Trustee is deemed to be instructed by the Grantee to sign such proxy, as requested by the Company. The proxy shall entitle the holder thereof to receive notices, vote and take such other actions in respect of the Shares or other Securities. Any person holding or exercising such voting proxies shall do so solely in his capacity as the proxy holder and not individually. All Awards granted hereunder shall be conditioned upon the execution of such irrevocable proxy in substantially the form prescribed by the Committee from time to time. So long as any such Shares are subject to such irrevocable proxy and power of attorney or held by a Trustee (and unless a proxy was given by the Trustee as aforesaid), (i) in any shareholders meeting or written consent in lieu thereof, such Shares shall be voted by the proxy holder, unless directed otherwise by the Board, in the same proportion as the result of the vote at the shareholders’ meeting (or written consent in lieu thereof) in respect of which the Shares are being voted (whether an extraordinary or annual meeting), and (ii) or in any act or consent of shareholders under the Company’s Articles of Association or otherwise, such Shares shall be cast by the proxy holder, unless directed otherwise by the Board, in the same proportion as the result of the shareholders’ act or consent. The provisions of this Section shall apply to the Grantee and to any purchaser, assignee or transferee of any Shares.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40" w:name="page241"/>
    <w:bookmarkEnd w:id="240"/>
    <w:p>
      <w:pPr>
        <w:ind w:right="40" w:firstLine="816"/>
        <w:spacing w:after="0" w:line="261"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 evidencing Awards under this Plan shall contain such other terms and conditions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84"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83" w:lineRule="exact"/>
        <w:rPr>
          <w:sz w:val="20"/>
          <w:szCs w:val="20"/>
          <w:color w:val="auto"/>
        </w:rPr>
      </w:pPr>
    </w:p>
    <w:p>
      <w:pPr>
        <w:ind w:firstLine="816"/>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 Nonqualified Stock Options may not be granted to Service Providers who is deemed to be a 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for purposes of taxation and who are providing services only to a “parent” of the Company, as such term is defined in Rule 405 of Regulation C under the Securities Act, unless the Shares underlying such Awards are treated as “service recipient stock” under Section 409A of the Code because the Awards are granted pursuant to a corporate transaction (such as a spin off transaction) or unless such Awards comply with the distribution requirements of Section 409A of the Code.</w:t>
      </w:r>
    </w:p>
    <w:p>
      <w:pPr>
        <w:spacing w:after="0" w:line="183" w:lineRule="exact"/>
        <w:rPr>
          <w:sz w:val="20"/>
          <w:szCs w:val="20"/>
          <w:color w:val="auto"/>
        </w:rPr>
      </w:pPr>
    </w:p>
    <w:p>
      <w:pPr>
        <w:ind w:right="100" w:firstLine="816"/>
        <w:spacing w:after="0" w:line="258"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 Nonqualified Stock Option shall not be less than 100% of the Fair Market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the date of grant unless the Committee specifically indicates that the Awards will have a lower Exercise Price and the Award complies with Section 409A of the Code. Notwithstanding the foregoing, Nonqualified Stock Option may be granted with an exercise price lower than the minimum exercise price set forth above if such Award is granted pursuant to an assumption or substitution for another option in a manner qualifying under the provisions of Section 424(a) of the Code.</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241" w:name="page242"/>
    <w:bookmarkEnd w:id="241"/>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183" w:lineRule="exact"/>
        <w:rPr>
          <w:sz w:val="20"/>
          <w:szCs w:val="20"/>
          <w:color w:val="auto"/>
        </w:rPr>
      </w:pPr>
    </w:p>
    <w:p>
      <w:pPr>
        <w:ind w:right="80" w:firstLine="816"/>
        <w:spacing w:after="0" w:line="277"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u w:val="single" w:color="auto"/>
          <w:color w:val="auto"/>
        </w:rPr>
        <w:t>Eligibility for Awards</w:t>
      </w:r>
      <w:r>
        <w:rPr>
          <w:rFonts w:ascii="Arial" w:cs="Arial" w:eastAsia="Arial" w:hAnsi="Arial"/>
          <w:sz w:val="17"/>
          <w:szCs w:val="17"/>
          <w:color w:val="auto"/>
        </w:rPr>
        <w:t>. Incentive Stock Options may be granted only to Employees of the Company, or to Employees of a Parent</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corporation thereof (as such terms are defined in Sections 424(e) and 424(f) of the Code). Any person who is not an Employee on the effective date of the grant of an Award to such person may be granted only a Nonqualifed Stock Option.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168" w:lineRule="exact"/>
        <w:rPr>
          <w:sz w:val="20"/>
          <w:szCs w:val="20"/>
          <w:color w:val="auto"/>
        </w:rPr>
      </w:pPr>
    </w:p>
    <w:p>
      <w:pPr>
        <w:ind w:right="40" w:firstLine="816"/>
        <w:spacing w:after="0" w:line="25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Incentive Stock Option shall not be less than one hundred percent (100%) of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the Shares covered by the Awards on the date of grant or such other price as may be determined pursuant to the Code. No Incentive Stock Option granted to any Ten-Percent Shareholder shall have an Exercise Price less than 110% of the Fair Market Value of a Share covered by the Awards on the effective date of grant. Notwithstanding the foregoing, Incentive Stock Option may be granted with an exercise price lower than the minimum exercise price set forth above if such Award is granted pursuant to an assumption or substitution for another option in a manner qualifying under the provisions of Section 424(a) of the Code.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jc w:val="right"/>
              <w:ind w:right="730"/>
              <w:spacing w:after="0"/>
              <w:rPr>
                <w:sz w:val="20"/>
                <w:szCs w:val="20"/>
                <w:color w:val="auto"/>
              </w:rPr>
            </w:pPr>
            <w:r>
              <w:rPr>
                <w:rFonts w:ascii="Arial" w:cs="Arial" w:eastAsia="Arial" w:hAnsi="Arial"/>
                <w:sz w:val="18"/>
                <w:szCs w:val="18"/>
                <w:b w:val="1"/>
                <w:bCs w:val="1"/>
                <w:color w:val="auto"/>
              </w:rPr>
              <w:t>8.3</w:t>
            </w:r>
          </w:p>
        </w:tc>
        <w:tc>
          <w:tcPr>
            <w:tcW w:w="9220" w:type="dxa"/>
            <w:vAlign w:val="bottom"/>
            <w:gridSpan w:val="3"/>
          </w:tcPr>
          <w:p>
            <w:pPr>
              <w:spacing w:after="0"/>
              <w:rPr>
                <w:sz w:val="20"/>
                <w:szCs w:val="20"/>
                <w:color w:val="auto"/>
              </w:rPr>
            </w:pPr>
            <w:r>
              <w:rPr>
                <w:rFonts w:ascii="Arial" w:cs="Arial" w:eastAsia="Arial" w:hAnsi="Arial"/>
                <w:sz w:val="18"/>
                <w:szCs w:val="18"/>
                <w:color w:val="auto"/>
                <w:w w:val="90"/>
              </w:rPr>
              <w:t>Date of Grant. Incentive Stock Option shall be granted within 10 years from the date this Plan is adopted, or the date this Plan is</w:t>
            </w:r>
          </w:p>
        </w:tc>
      </w:tr>
      <w:tr>
        <w:trPr>
          <w:trHeight w:val="20"/>
        </w:trPr>
        <w:tc>
          <w:tcPr>
            <w:tcW w:w="1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37"/>
        </w:trPr>
        <w:tc>
          <w:tcPr>
            <w:tcW w:w="11080" w:type="dxa"/>
            <w:vAlign w:val="bottom"/>
            <w:gridSpan w:val="4"/>
          </w:tcPr>
          <w:p>
            <w:pPr>
              <w:spacing w:after="0"/>
              <w:rPr>
                <w:sz w:val="20"/>
                <w:szCs w:val="20"/>
                <w:color w:val="auto"/>
              </w:rPr>
            </w:pPr>
            <w:r>
              <w:rPr>
                <w:rFonts w:ascii="Arial" w:cs="Arial" w:eastAsia="Arial" w:hAnsi="Arial"/>
                <w:sz w:val="18"/>
                <w:szCs w:val="18"/>
                <w:color w:val="auto"/>
              </w:rPr>
              <w:t>approved by the shareholders, whichever is earlier.</w:t>
            </w:r>
          </w:p>
        </w:tc>
      </w:tr>
      <w:tr>
        <w:trPr>
          <w:trHeight w:val="391"/>
        </w:trPr>
        <w:tc>
          <w:tcPr>
            <w:tcW w:w="1860" w:type="dxa"/>
            <w:vAlign w:val="bottom"/>
          </w:tcPr>
          <w:p>
            <w:pPr>
              <w:jc w:val="right"/>
              <w:ind w:right="730"/>
              <w:spacing w:after="0"/>
              <w:rPr>
                <w:sz w:val="20"/>
                <w:szCs w:val="20"/>
                <w:color w:val="auto"/>
              </w:rPr>
            </w:pPr>
            <w:r>
              <w:rPr>
                <w:rFonts w:ascii="Arial" w:cs="Arial" w:eastAsia="Arial" w:hAnsi="Arial"/>
                <w:sz w:val="18"/>
                <w:szCs w:val="18"/>
                <w:b w:val="1"/>
                <w:bCs w:val="1"/>
                <w:color w:val="auto"/>
              </w:rPr>
              <w:t>8.4</w:t>
            </w:r>
          </w:p>
        </w:tc>
        <w:tc>
          <w:tcPr>
            <w:tcW w:w="9220" w:type="dxa"/>
            <w:vAlign w:val="bottom"/>
            <w:gridSpan w:val="3"/>
          </w:tcPr>
          <w:p>
            <w:pPr>
              <w:spacing w:after="0"/>
              <w:rPr>
                <w:sz w:val="20"/>
                <w:szCs w:val="20"/>
                <w:color w:val="auto"/>
              </w:rPr>
            </w:pPr>
            <w:r>
              <w:rPr>
                <w:rFonts w:ascii="Arial" w:cs="Arial" w:eastAsia="Arial" w:hAnsi="Arial"/>
                <w:sz w:val="18"/>
                <w:szCs w:val="18"/>
                <w:color w:val="auto"/>
                <w:w w:val="91"/>
              </w:rPr>
              <w:t>Exercise Period. No Incentive Stock Option shall be exercisable after the expiration of ten (10) years after the effective date of</w:t>
            </w:r>
          </w:p>
        </w:tc>
      </w:tr>
      <w:tr>
        <w:trPr>
          <w:trHeight w:val="20"/>
        </w:trPr>
        <w:tc>
          <w:tcPr>
            <w:tcW w:w="1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grant of such Award, subject to Section 8.6. No Incentive Stock Option granted to a prospective Employee may become exercisable prior to the date on which such person commences employment.</w:t>
      </w:r>
    </w:p>
    <w:p>
      <w:pPr>
        <w:spacing w:after="0" w:line="166" w:lineRule="exact"/>
        <w:rPr>
          <w:sz w:val="20"/>
          <w:szCs w:val="20"/>
          <w:color w:val="auto"/>
        </w:rPr>
      </w:pPr>
    </w:p>
    <w:p>
      <w:pPr>
        <w:ind w:firstLine="816"/>
        <w:spacing w:after="0" w:line="269"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u w:val="single" w:color="auto"/>
          <w:color w:val="auto"/>
        </w:rPr>
        <w:t>Value of Shares</w:t>
      </w:r>
      <w:r>
        <w:rPr>
          <w:rFonts w:ascii="Arial" w:cs="Arial" w:eastAsia="Arial" w:hAnsi="Arial"/>
          <w:sz w:val="17"/>
          <w:szCs w:val="17"/>
          <w:color w:val="auto"/>
        </w:rPr>
        <w:t>. The aggregate Fair Market Value (determined as of the date the Incentive Stock Option is granted)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which all Incentive Stock Options granted under this Plan and all other option plans of any Parent or Subsidiary or Affiliate become exercisable for the first time by each Grantee during any calendar year shall not exceed one hundred thousand United States dollars ($100,000) with respect to such Grantee. To the extent that the aggregate Fair Market Value of Shares with respect to which the Incentive Stock Options are exercisable for the first time by any Grantee during any calendar years as mentioned above exceeds one hundred thousand United States dollars ($100,000), such Awards shall be treated as Nonqualified Stock Options. The foregoing shall be applied by taking Awards into account in the order in which they were granted, and the Fair Market Value of any Share to be determined at the time of the grant of the Awards.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Award is treated as an Incentive Stock Option in part and as a Nonqualifed Stock Option in part by reason of the limitation set forth in this Section 8.5, the Grantee may designate which portion of such Award the Grantee is exercising. In the absence of such designation, the Grantee shall be deemed to have exercised the Incentive Stock Option portion of the Award first. Separate certificates representing each such portion may be issued upon the exercise of the Award.</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42" w:name="page243"/>
    <w:bookmarkEnd w:id="242"/>
    <w:p>
      <w:pPr>
        <w:ind w:right="140" w:firstLine="816"/>
        <w:spacing w:after="0" w:line="289"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u w:val="single" w:color="auto"/>
          <w:color w:val="auto"/>
        </w:rPr>
        <w:t>Ten Percent Shareholder</w:t>
      </w:r>
      <w:r>
        <w:rPr>
          <w:rFonts w:ascii="Arial" w:cs="Arial" w:eastAsia="Arial" w:hAnsi="Arial"/>
          <w:sz w:val="17"/>
          <w:szCs w:val="17"/>
          <w:color w:val="auto"/>
        </w:rPr>
        <w:t>. In the case of an Incentive Stock Option granted to a Ten Percent Shareholder, (i) the 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less than one hundred and ten percent (110%) of the Fair Market Value of the Shares on the date of grant of such Incentive Stock Option, and (ii) the Exercise Period shall not exceed five (5) years from the effective date of grant of such Incentive Stock Option.</w:t>
      </w:r>
    </w:p>
    <w:p>
      <w:pPr>
        <w:spacing w:after="0" w:line="158" w:lineRule="exact"/>
        <w:rPr>
          <w:sz w:val="20"/>
          <w:szCs w:val="20"/>
          <w:color w:val="auto"/>
        </w:rPr>
      </w:pPr>
    </w:p>
    <w:p>
      <w:pPr>
        <w:ind w:right="20" w:firstLine="816"/>
        <w:spacing w:after="0" w:line="266"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Incentive Stock Option Lock-Up Period</w:t>
      </w:r>
      <w:r>
        <w:rPr>
          <w:rFonts w:ascii="Arial" w:cs="Arial" w:eastAsia="Arial" w:hAnsi="Arial"/>
          <w:sz w:val="18"/>
          <w:szCs w:val="18"/>
          <w:color w:val="auto"/>
        </w:rPr>
        <w:t>. No disposition of Shares received pursuant to the exercise of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the Grantee within 2 years from the date of grant, nor within 1 year after the transfer of such Shares to him. To the extent that the Grantee violates the aforementioned limitations, the Incentive Stock Options shall be deemed to be Nonqualified Stock Options.</w:t>
      </w:r>
    </w:p>
    <w:p>
      <w:pPr>
        <w:spacing w:after="0" w:line="176" w:lineRule="exact"/>
        <w:rPr>
          <w:sz w:val="20"/>
          <w:szCs w:val="20"/>
          <w:color w:val="auto"/>
        </w:rPr>
      </w:pPr>
    </w:p>
    <w:p>
      <w:pPr>
        <w:jc w:val="both"/>
        <w:ind w:right="260" w:firstLine="816"/>
        <w:spacing w:after="0" w:line="266"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Approval</w:t>
      </w:r>
      <w:r>
        <w:rPr>
          <w:rFonts w:ascii="Arial" w:cs="Arial" w:eastAsia="Arial" w:hAnsi="Arial"/>
          <w:sz w:val="18"/>
          <w:szCs w:val="18"/>
          <w:color w:val="auto"/>
        </w:rPr>
        <w:t>. To the extent required by Applicable Law, the status of any Shares issued upon exercise of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approval of this Plan and any amendment thereto by the Company’s shareholders, such approval to be provided 12 months before or after the date of adoption of this Plan or its amendment (if applicable), as the case may be, by the Board.</w:t>
      </w:r>
    </w:p>
    <w:p>
      <w:pPr>
        <w:spacing w:after="0" w:line="176" w:lineRule="exact"/>
        <w:rPr>
          <w:sz w:val="20"/>
          <w:szCs w:val="20"/>
          <w:color w:val="auto"/>
        </w:rPr>
      </w:pPr>
    </w:p>
    <w:p>
      <w:pPr>
        <w:ind w:right="60" w:firstLine="816"/>
        <w:spacing w:after="0" w:line="303" w:lineRule="auto"/>
        <w:rPr>
          <w:sz w:val="20"/>
          <w:szCs w:val="20"/>
          <w:color w:val="auto"/>
        </w:rPr>
      </w:pPr>
      <w:r>
        <w:rPr>
          <w:rFonts w:ascii="Arial" w:cs="Arial" w:eastAsia="Arial" w:hAnsi="Arial"/>
          <w:sz w:val="16"/>
          <w:szCs w:val="16"/>
          <w:b w:val="1"/>
          <w:bCs w:val="1"/>
          <w:color w:val="auto"/>
        </w:rPr>
        <w:t xml:space="preserve">8.9 </w:t>
      </w:r>
      <w:r>
        <w:rPr>
          <w:rFonts w:ascii="Arial" w:cs="Arial" w:eastAsia="Arial" w:hAnsi="Arial"/>
          <w:sz w:val="16"/>
          <w:szCs w:val="16"/>
          <w:u w:val="single" w:color="auto"/>
          <w:color w:val="auto"/>
        </w:rPr>
        <w:t>Leave of Absence</w:t>
      </w:r>
      <w:r>
        <w:rPr>
          <w:rFonts w:ascii="Arial" w:cs="Arial" w:eastAsia="Arial" w:hAnsi="Arial"/>
          <w:sz w:val="16"/>
          <w:szCs w:val="16"/>
          <w:color w:val="auto"/>
        </w:rPr>
        <w:t>. Notwithstanding Section 6.8, a Grantee’s employment shall not be deemed to have terminated if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takes any leave as set forth in Section 6.8(i); provided, however, that if any such leave exceeds ninety (90) days, on the one hundred eighty-first (181st) day following the commencement of such leave any Incentive Stock Option held by the Grantee shall cease to be treated as an Incentive Stock Option and instead shall be treated thereafter as a Nonqualifed Stock Option, unless the Grantee’s right to return to employment is guaranteed by statute or contract.</w:t>
      </w:r>
    </w:p>
    <w:p>
      <w:pPr>
        <w:spacing w:after="0" w:line="151" w:lineRule="exact"/>
        <w:rPr>
          <w:sz w:val="20"/>
          <w:szCs w:val="20"/>
          <w:color w:val="auto"/>
        </w:rPr>
      </w:pPr>
    </w:p>
    <w:p>
      <w:pPr>
        <w:ind w:right="180" w:firstLine="816"/>
        <w:spacing w:after="0" w:line="258"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u w:val="single" w:color="auto"/>
          <w:color w:val="auto"/>
        </w:rPr>
        <w:t>Exercise Following Termination for Disability</w:t>
      </w:r>
      <w:r>
        <w:rPr>
          <w:rFonts w:ascii="Arial" w:cs="Arial" w:eastAsia="Arial" w:hAnsi="Arial"/>
          <w:sz w:val="18"/>
          <w:szCs w:val="18"/>
          <w:color w:val="auto"/>
        </w:rPr>
        <w:t>. Notwithstanding anything else in this Plan to the contrary,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that are not exercised within three (3) months following termination of Grantee’s employment with the Company or its Parent or Subsidiary or a corporation or a Parent or Subsidiary of such corporation issuing or assuming a Award in a transaction to which Section 424(a) of the Code applies, or within one year in case of termination of Grantee’s employment with the Company or its Parent or Subsidiary due to a disability (within the meaning of Section 22(e)(3) of the Code), shall be deemed to be Nonqualified Stock Options.</w:t>
      </w:r>
    </w:p>
    <w:p>
      <w:pPr>
        <w:spacing w:after="0" w:line="183" w:lineRule="exact"/>
        <w:rPr>
          <w:sz w:val="20"/>
          <w:szCs w:val="20"/>
          <w:color w:val="auto"/>
        </w:rPr>
      </w:pPr>
    </w:p>
    <w:p>
      <w:pPr>
        <w:ind w:firstLine="816"/>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u w:val="single" w:color="auto"/>
          <w:color w:val="auto"/>
        </w:rPr>
        <w:t>Adjustments to Incentive Stock Options</w:t>
      </w:r>
      <w:r>
        <w:rPr>
          <w:rFonts w:ascii="Arial" w:cs="Arial" w:eastAsia="Arial" w:hAnsi="Arial"/>
          <w:sz w:val="18"/>
          <w:szCs w:val="18"/>
          <w:color w:val="auto"/>
        </w:rPr>
        <w:t>. Any Awards Agreement providing for the grant of Incentive Stock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that adjustments made pursuant to this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183" w:lineRule="exact"/>
        <w:rPr>
          <w:sz w:val="20"/>
          <w:szCs w:val="20"/>
          <w:color w:val="auto"/>
        </w:rPr>
      </w:pPr>
    </w:p>
    <w:p>
      <w:pPr>
        <w:ind w:right="40" w:firstLine="816"/>
        <w:spacing w:after="0" w:line="256"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 Each Grantee who receives an Incentive Stock Option must agree to notify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writing immediately after the Grantee makes a Disqualifying Disposition of any Shares received pursuant to the exercise of Incentive Stock Options. A “Disqualifying Disposition”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191"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u w:val="single" w:color="auto"/>
          <w:color w:val="auto"/>
        </w:rPr>
        <w:t>102 AWARDS</w:t>
      </w:r>
      <w:r>
        <w:rPr>
          <w:rFonts w:ascii="Arial" w:cs="Arial" w:eastAsia="Arial" w:hAnsi="Arial"/>
          <w:sz w:val="18"/>
          <w:szCs w:val="18"/>
          <w:color w:val="auto"/>
        </w:rPr>
        <w: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43" w:name="page244"/>
    <w:bookmarkEnd w:id="243"/>
    <w:p>
      <w:pPr>
        <w:ind w:right="20"/>
        <w:spacing w:after="0" w:line="259" w:lineRule="auto"/>
        <w:rPr>
          <w:sz w:val="20"/>
          <w:szCs w:val="20"/>
          <w:color w:val="auto"/>
        </w:rPr>
      </w:pPr>
      <w:r>
        <w:rPr>
          <w:rFonts w:ascii="Arial" w:cs="Arial" w:eastAsia="Arial" w:hAnsi="Arial"/>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83" w:lineRule="exact"/>
        <w:rPr>
          <w:sz w:val="20"/>
          <w:szCs w:val="20"/>
          <w:color w:val="auto"/>
        </w:rPr>
      </w:pPr>
    </w:p>
    <w:p>
      <w:pPr>
        <w:jc w:val="both"/>
        <w:ind w:right="40" w:firstLine="816"/>
        <w:spacing w:after="0" w:line="277"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Tracks</w:t>
      </w:r>
      <w:r>
        <w:rPr>
          <w:rFonts w:ascii="Arial" w:cs="Arial" w:eastAsia="Arial" w:hAnsi="Arial"/>
          <w:sz w:val="17"/>
          <w:szCs w:val="17"/>
          <w:color w:val="auto"/>
        </w:rPr>
        <w:t>. Awards granted pursuant to this Section 9 are intended to be granted pursuant to Section 102 of the Ordinance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either (i) Section 102(b)(2) thereof, under the capital gain track (“102 Capital Gain Track Awards”), or (ii) Section 102(b)(1) thereof under the ordinary income track (“102 Ordinary Income Track Awards”, and together with 102 Capital Gain Track Awards, “102 Trustee Awards”).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168" w:lineRule="exact"/>
        <w:rPr>
          <w:sz w:val="20"/>
          <w:szCs w:val="20"/>
          <w:color w:val="auto"/>
        </w:rPr>
      </w:pPr>
    </w:p>
    <w:p>
      <w:pPr>
        <w:ind w:right="40" w:firstLine="816"/>
        <w:spacing w:after="0" w:line="25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Election of Track</w:t>
      </w:r>
      <w:r>
        <w:rPr>
          <w:rFonts w:ascii="Arial" w:cs="Arial" w:eastAsia="Arial" w:hAnsi="Arial"/>
          <w:sz w:val="18"/>
          <w:szCs w:val="18"/>
          <w:color w:val="auto"/>
        </w:rPr>
        <w:t>. Subject to Applicable Law, the Company may grant only one type of 102 Trustee Awards at any given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all Grantees who are to be granted 102 Trustee Awards pursuant to this Plan, and shall file an election with the ITA regarding the type of 102 Trustee Awards it elects to grant before the date of grant of any 102 Trustee Awards (the “Election”).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(“102 Non-Trustee Awards”).</w:t>
      </w:r>
    </w:p>
    <w:p>
      <w:pPr>
        <w:spacing w:after="0" w:line="17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9.3</w:t>
            </w:r>
          </w:p>
        </w:tc>
        <w:tc>
          <w:tcPr>
            <w:tcW w:w="680" w:type="dxa"/>
            <w:vAlign w:val="bottom"/>
          </w:tcPr>
          <w:p>
            <w:pPr>
              <w:spacing w:after="0"/>
              <w:rPr>
                <w:sz w:val="17"/>
                <w:szCs w:val="17"/>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Eligibility for Awards.</w:t>
            </w: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38"/>
        </w:trPr>
        <w:tc>
          <w:tcPr>
            <w:tcW w:w="360" w:type="dxa"/>
            <w:vAlign w:val="bottom"/>
          </w:tcPr>
          <w:p>
            <w:pPr>
              <w:spacing w:after="0"/>
              <w:rPr>
                <w:sz w:val="24"/>
                <w:szCs w:val="24"/>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rPr>
              <w:t>Subject to Applicable Law, 102 Awards may only be granted to an "employee" within the meaning of Section 102(a) of the</w:t>
            </w:r>
          </w:p>
        </w:tc>
      </w:tr>
      <w:tr>
        <w:trPr>
          <w:trHeight w:val="216"/>
        </w:trPr>
        <w:tc>
          <w:tcPr>
            <w:tcW w:w="360" w:type="dxa"/>
            <w:vAlign w:val="bottom"/>
          </w:tcPr>
          <w:p>
            <w:pPr>
              <w:spacing w:after="0"/>
              <w:rPr>
                <w:sz w:val="18"/>
                <w:szCs w:val="18"/>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w w:val="99"/>
              </w:rPr>
              <w:t>Ordinance (which as of the date of the adoption of this Plan means (i) individuals employed by an Israeli company being the</w:t>
            </w:r>
          </w:p>
        </w:tc>
      </w:tr>
      <w:tr>
        <w:trPr>
          <w:trHeight w:val="216"/>
        </w:trPr>
        <w:tc>
          <w:tcPr>
            <w:tcW w:w="360" w:type="dxa"/>
            <w:vAlign w:val="bottom"/>
          </w:tcPr>
          <w:p>
            <w:pPr>
              <w:spacing w:after="0"/>
              <w:rPr>
                <w:sz w:val="18"/>
                <w:szCs w:val="18"/>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w w:val="97"/>
              </w:rPr>
              <w:t>Company or any of its Affiliates, and (ii) individuals who are serving and are engaged personally (and not through an entity) as</w:t>
            </w:r>
          </w:p>
        </w:tc>
      </w:tr>
      <w:tr>
        <w:trPr>
          <w:trHeight w:val="216"/>
        </w:trPr>
        <w:tc>
          <w:tcPr>
            <w:tcW w:w="360" w:type="dxa"/>
            <w:vAlign w:val="bottom"/>
          </w:tcPr>
          <w:p>
            <w:pPr>
              <w:spacing w:after="0"/>
              <w:rPr>
                <w:sz w:val="18"/>
                <w:szCs w:val="18"/>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w w:val="99"/>
              </w:rPr>
              <w:t>“office holders” by such an Israeli company), but may not be granted to a Controlling Shareholder (“Eligible 102 Grantees”).</w:t>
            </w:r>
          </w:p>
        </w:tc>
      </w:tr>
      <w:tr>
        <w:trPr>
          <w:trHeight w:val="216"/>
        </w:trPr>
        <w:tc>
          <w:tcPr>
            <w:tcW w:w="360" w:type="dxa"/>
            <w:vAlign w:val="bottom"/>
          </w:tcPr>
          <w:p>
            <w:pPr>
              <w:spacing w:after="0"/>
              <w:rPr>
                <w:sz w:val="18"/>
                <w:szCs w:val="18"/>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w w:val="93"/>
              </w:rPr>
              <w:t>Eligible 102 Grantees may receive only 102 Awards, which may either be granted to a Trustee or granted under Section 102 of the</w:t>
            </w:r>
          </w:p>
        </w:tc>
      </w:tr>
      <w:tr>
        <w:trPr>
          <w:trHeight w:val="230"/>
        </w:trPr>
        <w:tc>
          <w:tcPr>
            <w:tcW w:w="360" w:type="dxa"/>
            <w:vAlign w:val="bottom"/>
          </w:tcPr>
          <w:p>
            <w:pPr>
              <w:spacing w:after="0"/>
              <w:rPr>
                <w:sz w:val="20"/>
                <w:szCs w:val="20"/>
                <w:color w:val="auto"/>
              </w:rPr>
            </w:pPr>
          </w:p>
        </w:tc>
        <w:tc>
          <w:tcPr>
            <w:tcW w:w="9880" w:type="dxa"/>
            <w:vAlign w:val="bottom"/>
            <w:gridSpan w:val="5"/>
          </w:tcPr>
          <w:p>
            <w:pPr>
              <w:ind w:left="120"/>
              <w:spacing w:after="0"/>
              <w:rPr>
                <w:sz w:val="20"/>
                <w:szCs w:val="20"/>
                <w:color w:val="auto"/>
              </w:rPr>
            </w:pPr>
            <w:r>
              <w:rPr>
                <w:rFonts w:ascii="Arial" w:cs="Arial" w:eastAsia="Arial" w:hAnsi="Arial"/>
                <w:sz w:val="18"/>
                <w:szCs w:val="18"/>
                <w:color w:val="auto"/>
              </w:rPr>
              <w:t>Ordinance without a Trustee.</w:t>
            </w:r>
          </w:p>
        </w:tc>
      </w:tr>
      <w:tr>
        <w:trPr>
          <w:trHeight w:val="391"/>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9.4</w:t>
            </w:r>
          </w:p>
        </w:tc>
        <w:tc>
          <w:tcPr>
            <w:tcW w:w="680" w:type="dxa"/>
            <w:vAlign w:val="bottom"/>
          </w:tcPr>
          <w:p>
            <w:pPr>
              <w:spacing w:after="0"/>
              <w:rPr>
                <w:sz w:val="24"/>
                <w:szCs w:val="24"/>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102 Award Grant Date.</w:t>
            </w: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b w:val="1"/>
                <w:bCs w:val="1"/>
                <w:color w:val="auto"/>
              </w:rPr>
              <w:t>9.4.1</w:t>
            </w:r>
          </w:p>
        </w:tc>
        <w:tc>
          <w:tcPr>
            <w:tcW w:w="8800" w:type="dxa"/>
            <w:vAlign w:val="bottom"/>
            <w:gridSpan w:val="3"/>
          </w:tcPr>
          <w:p>
            <w:pPr>
              <w:ind w:left="360"/>
              <w:spacing w:after="0"/>
              <w:rPr>
                <w:sz w:val="20"/>
                <w:szCs w:val="20"/>
                <w:color w:val="auto"/>
              </w:rPr>
            </w:pPr>
            <w:r>
              <w:rPr>
                <w:rFonts w:ascii="Arial" w:cs="Arial" w:eastAsia="Arial" w:hAnsi="Arial"/>
                <w:sz w:val="18"/>
                <w:szCs w:val="18"/>
                <w:color w:val="auto"/>
                <w:w w:val="90"/>
              </w:rPr>
              <w:t>Each 102 Award will be deemed granted on the date determined by the Committee, subject to Section 9.4.2, provided</w:t>
            </w:r>
          </w:p>
        </w:tc>
      </w:tr>
    </w:tbl>
    <w:p>
      <w:pPr>
        <w:ind w:right="380"/>
        <w:spacing w:after="0" w:line="290" w:lineRule="auto"/>
        <w:rPr>
          <w:sz w:val="20"/>
          <w:szCs w:val="20"/>
          <w:color w:val="auto"/>
        </w:rPr>
      </w:pPr>
      <w:r>
        <w:rPr>
          <w:rFonts w:ascii="Arial" w:cs="Arial" w:eastAsia="Arial" w:hAnsi="Arial"/>
          <w:sz w:val="17"/>
          <w:szCs w:val="17"/>
          <w:color w:val="auto"/>
        </w:rPr>
        <w:t>that (i) the Grantee has signed all documents required by the Company or pursuant to Applicable Law, and (ii) with respect to 102 Trustee Award, the Company has provided all applicable documents to the Trustee in accordance with the guidelines published by the ITA.</w:t>
      </w:r>
    </w:p>
    <w:p>
      <w:pPr>
        <w:spacing w:after="0" w:line="157" w:lineRule="exact"/>
        <w:rPr>
          <w:sz w:val="20"/>
          <w:szCs w:val="20"/>
          <w:color w:val="auto"/>
        </w:rPr>
      </w:pPr>
    </w:p>
    <w:p>
      <w:pPr>
        <w:ind w:firstLine="1531"/>
        <w:spacing w:after="0" w:line="292" w:lineRule="auto"/>
        <w:rPr>
          <w:sz w:val="20"/>
          <w:szCs w:val="20"/>
          <w:color w:val="auto"/>
        </w:rPr>
      </w:pPr>
      <w:r>
        <w:rPr>
          <w:rFonts w:ascii="Arial" w:cs="Arial" w:eastAsia="Arial" w:hAnsi="Arial"/>
          <w:sz w:val="16"/>
          <w:szCs w:val="16"/>
          <w:b w:val="1"/>
          <w:bCs w:val="1"/>
          <w:color w:val="auto"/>
        </w:rPr>
        <w:t xml:space="preserve">9.4.2 </w:t>
      </w:r>
      <w:r>
        <w:rPr>
          <w:rFonts w:ascii="Arial" w:cs="Arial" w:eastAsia="Arial" w:hAnsi="Arial"/>
          <w:sz w:val="16"/>
          <w:szCs w:val="16"/>
          <w:color w:val="auto"/>
        </w:rPr>
        <w:t>Unless otherwise permitted by the Ordinance, any grants of 102 Trustee Awards that are made on or after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indicating in any corporate resolution or Award Agreement.</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44" w:name="page245"/>
    <w:bookmarkEnd w:id="244"/>
    <w:tbl>
      <w:tblPr>
        <w:tblLayout w:type="fixed"/>
        <w:tblInd w:w="820" w:type="dxa"/>
        <w:tblCellMar>
          <w:top w:w="0" w:type="dxa"/>
          <w:left w:w="0" w:type="dxa"/>
          <w:bottom w:w="0" w:type="dxa"/>
          <w:right w:w="0" w:type="dxa"/>
        </w:tblCellMar>
      </w:tblPr>
      <w:tr>
        <w:trPr>
          <w:trHeight w:val="207"/>
        </w:trPr>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9.5</w:t>
            </w:r>
          </w:p>
        </w:tc>
        <w:tc>
          <w:tcPr>
            <w:tcW w:w="560" w:type="dxa"/>
            <w:vAlign w:val="bottom"/>
          </w:tcPr>
          <w:p>
            <w:pPr>
              <w:spacing w:after="0"/>
              <w:rPr>
                <w:sz w:val="17"/>
                <w:szCs w:val="17"/>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102 Trustee Awards.</w:t>
            </w: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9.5.1</w:t>
            </w:r>
          </w:p>
        </w:tc>
        <w:tc>
          <w:tcPr>
            <w:tcW w:w="8860" w:type="dxa"/>
            <w:vAlign w:val="bottom"/>
            <w:gridSpan w:val="2"/>
          </w:tcPr>
          <w:p>
            <w:pPr>
              <w:ind w:left="360"/>
              <w:spacing w:after="0"/>
              <w:rPr>
                <w:sz w:val="20"/>
                <w:szCs w:val="20"/>
                <w:color w:val="auto"/>
              </w:rPr>
            </w:pPr>
            <w:r>
              <w:rPr>
                <w:rFonts w:ascii="Arial" w:cs="Arial" w:eastAsia="Arial" w:hAnsi="Arial"/>
                <w:sz w:val="18"/>
                <w:szCs w:val="18"/>
                <w:color w:val="auto"/>
                <w:w w:val="88"/>
              </w:rPr>
              <w:t>Each 102 Trustee Award, each Share issued pursuant to the exercise of any 102 Trustee Award, and any rights granted</w:t>
            </w:r>
          </w:p>
        </w:tc>
      </w:tr>
    </w:tbl>
    <w:p>
      <w:pPr>
        <w:spacing w:after="0" w:line="268" w:lineRule="auto"/>
        <w:rPr>
          <w:sz w:val="20"/>
          <w:szCs w:val="20"/>
          <w:color w:val="auto"/>
        </w:rPr>
      </w:pPr>
      <w:r>
        <w:rPr>
          <w:rFonts w:ascii="Arial" w:cs="Arial" w:eastAsia="Arial" w:hAnsi="Arial"/>
          <w:sz w:val="17"/>
          <w:szCs w:val="17"/>
          <w:color w:val="auto"/>
        </w:rPr>
        <w:t>thereunder, including bonus shares, shall be issued to and registered in the name of the Trustee and shall be held in trust for the benefit of the Grantee for the requisite period prescribed by the Ordinance or such longer period as set by the Committee (the “Required Holding Period”). In the event that the requirements under Section 102 of the Ordinance to qualify an Award as a 102 Trustee Award are not met, then the Award may be treated as a 102 Non-Trustee Award or 3(9) Award, all in accordance with the provisions of the Ordinance. After termination of the Required Holding Period, the Trustee may release such 102 Trustee Awards and any such Shares, provided that (i) the Trustee has received an acknowledgment from the ITA that the Grantee has paid any applicable taxes due pursuant to the Ordinance, or (ii) the Trustee and/or the Company and/or its Affiliate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175" w:lineRule="exact"/>
        <w:rPr>
          <w:sz w:val="20"/>
          <w:szCs w:val="20"/>
          <w:color w:val="auto"/>
        </w:rPr>
      </w:pPr>
    </w:p>
    <w:p>
      <w:pPr>
        <w:ind w:right="80" w:firstLine="1531"/>
        <w:spacing w:after="0" w:line="292" w:lineRule="auto"/>
        <w:rPr>
          <w:sz w:val="20"/>
          <w:szCs w:val="20"/>
          <w:color w:val="auto"/>
        </w:rPr>
      </w:pPr>
      <w:r>
        <w:rPr>
          <w:rFonts w:ascii="Arial" w:cs="Arial" w:eastAsia="Arial" w:hAnsi="Arial"/>
          <w:sz w:val="16"/>
          <w:szCs w:val="16"/>
          <w:b w:val="1"/>
          <w:bCs w:val="1"/>
          <w:color w:val="auto"/>
        </w:rPr>
        <w:t xml:space="preserve">9.5.2 </w:t>
      </w:r>
      <w:r>
        <w:rPr>
          <w:rFonts w:ascii="Arial" w:cs="Arial" w:eastAsia="Arial" w:hAnsi="Arial"/>
          <w:sz w:val="16"/>
          <w:szCs w:val="16"/>
          <w:color w:val="auto"/>
        </w:rPr>
        <w:t>Each 102 Trustee Award shall be subject to the relevant terms of the Ordinance, the Rules and any determinations,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The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161" w:lineRule="exact"/>
        <w:rPr>
          <w:sz w:val="20"/>
          <w:szCs w:val="20"/>
          <w:color w:val="auto"/>
        </w:rPr>
      </w:pPr>
    </w:p>
    <w:p>
      <w:pPr>
        <w:ind w:right="80" w:firstLine="1531"/>
        <w:spacing w:after="0" w:line="270" w:lineRule="auto"/>
        <w:rPr>
          <w:sz w:val="20"/>
          <w:szCs w:val="20"/>
          <w:color w:val="auto"/>
        </w:rPr>
      </w:pPr>
      <w:r>
        <w:rPr>
          <w:rFonts w:ascii="Arial" w:cs="Arial" w:eastAsia="Arial" w:hAnsi="Arial"/>
          <w:sz w:val="17"/>
          <w:szCs w:val="17"/>
          <w:b w:val="1"/>
          <w:bCs w:val="1"/>
          <w:color w:val="auto"/>
        </w:rPr>
        <w:t xml:space="preserve">9.5.3 </w:t>
      </w:r>
      <w:r>
        <w:rPr>
          <w:rFonts w:ascii="Arial" w:cs="Arial" w:eastAsia="Arial" w:hAnsi="Arial"/>
          <w:sz w:val="17"/>
          <w:szCs w:val="17"/>
          <w:color w:val="auto"/>
        </w:rPr>
        <w:t>During the Required Holding Period, the Grantee shall not release from trust or sell, assign, transfer or give as</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67" w:right="4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20"/>
        </w:trPr>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9.5.4</w:t>
            </w:r>
          </w:p>
        </w:tc>
        <w:tc>
          <w:tcPr>
            <w:tcW w:w="8660" w:type="dxa"/>
            <w:vAlign w:val="bottom"/>
          </w:tcPr>
          <w:p>
            <w:pPr>
              <w:ind w:left="360"/>
              <w:spacing w:after="0"/>
              <w:rPr>
                <w:sz w:val="20"/>
                <w:szCs w:val="20"/>
                <w:color w:val="auto"/>
              </w:rPr>
            </w:pPr>
            <w:r>
              <w:rPr>
                <w:rFonts w:ascii="Arial" w:cs="Arial" w:eastAsia="Arial" w:hAnsi="Arial"/>
                <w:sz w:val="18"/>
                <w:szCs w:val="18"/>
                <w:color w:val="auto"/>
                <w:w w:val="89"/>
              </w:rPr>
              <w:t>If a 102 Trustee Award is exercised or (if applicable) vested, the Shares issued upon such exercise or (if applicable)</w:t>
            </w:r>
          </w:p>
        </w:tc>
      </w:tr>
      <w:tr>
        <w:trPr>
          <w:trHeight w:val="230"/>
        </w:trPr>
        <w:tc>
          <w:tcPr>
            <w:tcW w:w="10920" w:type="dxa"/>
            <w:vAlign w:val="bottom"/>
            <w:gridSpan w:val="2"/>
          </w:tcPr>
          <w:p>
            <w:pPr>
              <w:spacing w:after="0"/>
              <w:rPr>
                <w:sz w:val="20"/>
                <w:szCs w:val="20"/>
                <w:color w:val="auto"/>
              </w:rPr>
            </w:pPr>
            <w:r>
              <w:rPr>
                <w:rFonts w:ascii="Arial" w:cs="Arial" w:eastAsia="Arial" w:hAnsi="Arial"/>
                <w:sz w:val="18"/>
                <w:szCs w:val="18"/>
                <w:color w:val="auto"/>
              </w:rPr>
              <w:t>vesting shall be issued in the name of the Trustee for the benefit of the Grantee.</w:t>
            </w:r>
          </w:p>
        </w:tc>
      </w:tr>
      <w:tr>
        <w:trPr>
          <w:trHeight w:val="432"/>
        </w:trPr>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9.5.5</w:t>
            </w:r>
          </w:p>
        </w:tc>
        <w:tc>
          <w:tcPr>
            <w:tcW w:w="8660" w:type="dxa"/>
            <w:vAlign w:val="bottom"/>
          </w:tcPr>
          <w:p>
            <w:pPr>
              <w:ind w:left="360"/>
              <w:spacing w:after="0"/>
              <w:rPr>
                <w:sz w:val="20"/>
                <w:szCs w:val="20"/>
                <w:color w:val="auto"/>
              </w:rPr>
            </w:pPr>
            <w:r>
              <w:rPr>
                <w:rFonts w:ascii="Arial" w:cs="Arial" w:eastAsia="Arial" w:hAnsi="Arial"/>
                <w:sz w:val="18"/>
                <w:szCs w:val="18"/>
                <w:color w:val="auto"/>
                <w:w w:val="93"/>
              </w:rPr>
              <w:t>Upon or after receipt of a 102 Trustee Award, if required, the Grantee may be required to sign an undertaking to</w:t>
            </w:r>
          </w:p>
        </w:tc>
      </w:tr>
    </w:tbl>
    <w:p>
      <w:pPr>
        <w:ind w:right="60"/>
        <w:spacing w:after="0" w:line="260" w:lineRule="auto"/>
        <w:rPr>
          <w:sz w:val="20"/>
          <w:szCs w:val="20"/>
          <w:color w:val="auto"/>
        </w:rPr>
      </w:pPr>
      <w:r>
        <w:rPr>
          <w:rFonts w:ascii="Arial" w:cs="Arial" w:eastAsia="Arial" w:hAnsi="Arial"/>
          <w:sz w:val="18"/>
          <w:szCs w:val="18"/>
          <w:color w:val="auto"/>
        </w:rPr>
        <w:t>release the Trustee from any liability with respect to any action or decision duly taken and executed in good faith by the Trustee in relation to this Plan, or any 102 Trustee Awards or Share granted to such Grantee thereunder.</w:t>
      </w:r>
    </w:p>
    <w:p>
      <w:pPr>
        <w:spacing w:after="0" w:line="181" w:lineRule="exact"/>
        <w:rPr>
          <w:sz w:val="20"/>
          <w:szCs w:val="20"/>
          <w:color w:val="auto"/>
        </w:rPr>
      </w:pPr>
    </w:p>
    <w:p>
      <w:pPr>
        <w:ind w:right="60" w:firstLine="816"/>
        <w:spacing w:after="0" w:line="272"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 The foregoing provisions of this Section 9 relating to 102 Trustee Awards shall not apply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172" w:lineRule="exact"/>
        <w:rPr>
          <w:sz w:val="20"/>
          <w:szCs w:val="20"/>
          <w:color w:val="auto"/>
        </w:rPr>
      </w:pPr>
    </w:p>
    <w:p>
      <w:pPr>
        <w:ind w:firstLine="816"/>
        <w:spacing w:after="0" w:line="289"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u w:val="single" w:color="auto"/>
          <w:color w:val="auto"/>
        </w:rPr>
        <w:t>Israeli Index Base for 102 Awards</w:t>
      </w:r>
      <w:r>
        <w:rPr>
          <w:rFonts w:ascii="Arial" w:cs="Arial" w:eastAsia="Arial" w:hAnsi="Arial"/>
          <w:sz w:val="17"/>
          <w:szCs w:val="17"/>
          <w:color w:val="auto"/>
        </w:rPr>
        <w:t>. Each 102 Award will be subject to the Israeli index base of the Value of Benefit,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102(a) of the Ordinance, as determined by the Committee in its discretion, pursuant to the Rules, from time to time. The Committee may amend (which may have a retroactive effect) the Israeli index base, pursuant to the Ordinance, without the Grantee’s consent.</w:t>
      </w:r>
    </w:p>
    <w:p>
      <w:pPr>
        <w:spacing w:after="0" w:line="158" w:lineRule="exact"/>
        <w:rPr>
          <w:sz w:val="20"/>
          <w:szCs w:val="20"/>
          <w:color w:val="auto"/>
        </w:rPr>
      </w:pPr>
    </w:p>
    <w:p>
      <w:pPr>
        <w:ind w:right="20" w:firstLine="816"/>
        <w:spacing w:after="0" w:line="258"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u w:val="single" w:color="auto"/>
          <w:color w:val="auto"/>
        </w:rPr>
        <w:t>Written Grantee Undertaking</w:t>
      </w:r>
      <w:r>
        <w:rPr>
          <w:rFonts w:ascii="Arial" w:cs="Arial" w:eastAsia="Arial" w:hAnsi="Arial"/>
          <w:sz w:val="18"/>
          <w:szCs w:val="18"/>
          <w:color w:val="auto"/>
        </w:rPr>
        <w:t>. To the extent and with respect to any 102 Trustee Award, and as required by Section 102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Ordinance and the Rules, by virtue of the receipt of such Award, the Grantee is deemed to have undertaken and confirm in writing the following (and such undertaking is deemed incorporated into any documents signed by the Grantee in connection with the employment or service of the Grantee and/or the grant of such Award). The following written undertaking shall be deemed to apply and relate to all Awards granted to the Grantee, whether under this Plan or other plans maintained by the Company, and whether prior to or after the date hereof.</w:t>
      </w:r>
    </w:p>
    <w:p>
      <w:pPr>
        <w:spacing w:after="0" w:line="183" w:lineRule="exact"/>
        <w:rPr>
          <w:sz w:val="20"/>
          <w:szCs w:val="20"/>
          <w:color w:val="auto"/>
        </w:rPr>
      </w:pPr>
    </w:p>
    <w:p>
      <w:pPr>
        <w:jc w:val="both"/>
        <w:ind w:right="180" w:firstLine="1531"/>
        <w:spacing w:after="0" w:line="266" w:lineRule="auto"/>
        <w:rPr>
          <w:sz w:val="20"/>
          <w:szCs w:val="20"/>
          <w:color w:val="auto"/>
        </w:rPr>
      </w:pPr>
      <w:r>
        <w:rPr>
          <w:rFonts w:ascii="Arial" w:cs="Arial" w:eastAsia="Arial" w:hAnsi="Arial"/>
          <w:sz w:val="18"/>
          <w:szCs w:val="18"/>
          <w:b w:val="1"/>
          <w:bCs w:val="1"/>
          <w:color w:val="auto"/>
        </w:rPr>
        <w:t xml:space="preserve">9.8.1 </w:t>
      </w:r>
      <w:r>
        <w:rPr>
          <w:rFonts w:ascii="Arial" w:cs="Arial" w:eastAsia="Arial" w:hAnsi="Arial"/>
          <w:sz w:val="18"/>
          <w:szCs w:val="18"/>
          <w:color w:val="auto"/>
        </w:rPr>
        <w:t>The Grantee shall comply with all terms and conditions set forth in Section 102 of the Ordinance with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Gain Track” or the “Ordinary Income Track”, as applicable, and the applicable rules and regulations promulgated thereunder, as amended from time to time;</w:t>
      </w:r>
    </w:p>
    <w:p>
      <w:pPr>
        <w:spacing w:after="0" w:line="176" w:lineRule="exact"/>
        <w:rPr>
          <w:sz w:val="20"/>
          <w:szCs w:val="20"/>
          <w:color w:val="auto"/>
        </w:rPr>
      </w:pPr>
    </w:p>
    <w:p>
      <w:pPr>
        <w:ind w:firstLine="1531"/>
        <w:spacing w:after="0" w:line="273" w:lineRule="auto"/>
        <w:rPr>
          <w:sz w:val="20"/>
          <w:szCs w:val="20"/>
          <w:color w:val="auto"/>
        </w:rPr>
      </w:pPr>
      <w:r>
        <w:rPr>
          <w:rFonts w:ascii="Arial" w:cs="Arial" w:eastAsia="Arial" w:hAnsi="Arial"/>
          <w:sz w:val="17"/>
          <w:szCs w:val="17"/>
          <w:b w:val="1"/>
          <w:bCs w:val="1"/>
          <w:color w:val="auto"/>
        </w:rPr>
        <w:t xml:space="preserve">9.8.2 </w:t>
      </w:r>
      <w:r>
        <w:rPr>
          <w:rFonts w:ascii="Arial" w:cs="Arial" w:eastAsia="Arial" w:hAnsi="Arial"/>
          <w:sz w:val="17"/>
          <w:szCs w:val="17"/>
          <w:color w:val="auto"/>
        </w:rPr>
        <w:t>The Grantee is familiar with, and understand the provisions of, Section 102 of the Ordinance in general, and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under the “Capital Gain Track” or the “Ordinary Income Track” in particular, and its tax consequences; the Grantee agrees that the Awards and Shares that may be issued upon exercise or (if applicable) vesting of the Awards (or otherwise in relation to the Awards), will be held by a trustee appointed pursuant to Section 102 of the Ordinance for at least the duration of the "Holding Period" (as such term is defined in Section 102) under the "Capital Gain Track" or the “Ordinary Income Track”, as applicable. The Grantee understands that any release of such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46" w:name="page247"/>
    <w:bookmarkEnd w:id="246"/>
    <w:p>
      <w:pPr>
        <w:ind w:right="120" w:firstLine="1531"/>
        <w:spacing w:after="0" w:line="282" w:lineRule="auto"/>
        <w:rPr>
          <w:sz w:val="20"/>
          <w:szCs w:val="20"/>
          <w:color w:val="auto"/>
        </w:rPr>
      </w:pPr>
      <w:r>
        <w:rPr>
          <w:rFonts w:ascii="Arial" w:cs="Arial" w:eastAsia="Arial" w:hAnsi="Arial"/>
          <w:sz w:val="18"/>
          <w:szCs w:val="18"/>
          <w:b w:val="1"/>
          <w:bCs w:val="1"/>
          <w:color w:val="auto"/>
        </w:rPr>
        <w:t xml:space="preserve">9.8.3 </w:t>
      </w:r>
      <w:r>
        <w:rPr>
          <w:rFonts w:ascii="Arial" w:cs="Arial" w:eastAsia="Arial" w:hAnsi="Arial"/>
          <w:sz w:val="18"/>
          <w:szCs w:val="18"/>
          <w:color w:val="auto"/>
        </w:rPr>
        <w:t>The Grantee agrees to the trust deed signed between the Company, his employing company and the trustee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102 of the Ordinance.</w:t>
      </w:r>
    </w:p>
    <w:p>
      <w:pPr>
        <w:spacing w:after="0" w:line="166"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u w:val="single" w:color="auto"/>
          <w:color w:val="auto"/>
        </w:rPr>
        <w:t>3(9) AWARDS</w:t>
      </w:r>
      <w:r>
        <w:rPr>
          <w:rFonts w:ascii="Arial" w:cs="Arial" w:eastAsia="Arial" w:hAnsi="Arial"/>
          <w:sz w:val="18"/>
          <w:szCs w:val="18"/>
          <w:color w:val="auto"/>
        </w:rPr>
        <w: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Awards granted pursuant to this Section 10 are intended to constitute 3(9)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183" w:lineRule="exact"/>
        <w:rPr>
          <w:sz w:val="20"/>
          <w:szCs w:val="20"/>
          <w:color w:val="auto"/>
        </w:rPr>
      </w:pPr>
    </w:p>
    <w:p>
      <w:pPr>
        <w:ind w:firstLine="816"/>
        <w:spacing w:after="0" w:line="292"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To the extent required by the Ordinance or the ITA or otherwise deemed by the Committee to be advisable, the 3(9) Awards</w:t>
      </w:r>
      <w:r>
        <w:rPr>
          <w:rFonts w:ascii="Arial" w:cs="Arial" w:eastAsia="Arial" w:hAnsi="Arial"/>
          <w:sz w:val="16"/>
          <w:szCs w:val="16"/>
          <w:b w:val="1"/>
          <w:bCs w:val="1"/>
          <w:color w:val="auto"/>
        </w:rPr>
        <w:t xml:space="preserve"> </w:t>
      </w:r>
      <w:r>
        <w:rPr>
          <w:rFonts w:ascii="Arial" w:cs="Arial" w:eastAsia="Arial" w:hAnsi="Arial"/>
          <w:sz w:val="16"/>
          <w:szCs w:val="16"/>
          <w:color w:val="auto"/>
        </w:rPr>
        <w:t>and/or any shares or other securities issued or distributed with respect thereto granted pursuant to this Plan shall be issued to a Trustee nominated by the Committee in accordance with the provisions of the Ordinance. In such event, the Trustee shall hold such Awards and/or any shares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161" w:lineRule="exact"/>
        <w:rPr>
          <w:sz w:val="20"/>
          <w:szCs w:val="20"/>
          <w:color w:val="auto"/>
        </w:rPr>
      </w:pPr>
    </w:p>
    <w:p>
      <w:pPr>
        <w:ind w:right="140" w:firstLine="816"/>
        <w:spacing w:after="0" w:line="266"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Shares pursuant to a 3(9) Award shall not be issued, unless the Grantee delivers to the Company payment in cash or by bank</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80"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Committee may award Restricted Shares to any eligible Grantee, including under Section 102 of the Ordinance. Each Award of Restricted Shares under this Plan shall be evidenced by a written agreement between the Company and the Grantee (the “Restricted Share Agreement”),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The Restricted Share Agreement shall comply with and be subject to Section 6 and the following terms and conditions, unless otherwise specifically provided in such Agreement and not inconsistent with this Plan, or Applicable Law:</w:t>
      </w:r>
    </w:p>
    <w:p>
      <w:pPr>
        <w:spacing w:after="0" w:line="191" w:lineRule="exact"/>
        <w:rPr>
          <w:sz w:val="20"/>
          <w:szCs w:val="20"/>
          <w:color w:val="auto"/>
        </w:rPr>
      </w:pPr>
    </w:p>
    <w:p>
      <w:pPr>
        <w:jc w:val="both"/>
        <w:ind w:right="60" w:firstLine="816"/>
        <w:spacing w:after="0" w:line="289"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u w:val="single" w:color="auto"/>
          <w:color w:val="auto"/>
        </w:rPr>
        <w:t>Purchase Price</w:t>
      </w:r>
      <w:r>
        <w:rPr>
          <w:rFonts w:ascii="Arial" w:cs="Arial" w:eastAsia="Arial" w:hAnsi="Arial"/>
          <w:sz w:val="17"/>
          <w:szCs w:val="17"/>
          <w:color w:val="auto"/>
        </w:rPr>
        <w:t>. Section 6.4 shall not apply. Each Restricted Share Agreement shall state an amount of Exercise Price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Grantee, if any, in consideration for the issuance of the Restricted Shares and the terms of payment thereof, which may include, payment in cash or by issuance of promissory notes or other evidence of indebtedness on such terms and conditions as determined by the Committee.</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47" w:name="page248"/>
    <w:bookmarkEnd w:id="247"/>
    <w:p>
      <w:pPr>
        <w:ind w:right="60" w:firstLine="816"/>
        <w:spacing w:after="0" w:line="286"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 disposed of, except</w:t>
      </w:r>
      <w:r>
        <w:rPr>
          <w:rFonts w:ascii="Arial" w:cs="Arial" w:eastAsia="Arial" w:hAnsi="Arial"/>
          <w:sz w:val="16"/>
          <w:szCs w:val="16"/>
          <w:b w:val="1"/>
          <w:bCs w:val="1"/>
          <w:color w:val="auto"/>
        </w:rPr>
        <w:t xml:space="preserve"> </w:t>
      </w:r>
      <w:r>
        <w:rPr>
          <w:rFonts w:ascii="Arial" w:cs="Arial" w:eastAsia="Arial" w:hAnsi="Arial"/>
          <w:sz w:val="16"/>
          <w:szCs w:val="16"/>
          <w:color w:val="auto"/>
        </w:rPr>
        <w:t>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 thereunder being referred to herein as the “Restricted Period”). The Committee may also impose such additional or alternative restrictions and conditions on the Restricted Shares, as it deems appropriate, including the satisfaction of performance criteria. Such performance criteria may include, but are not limited to, sales, earnings before interest and taxes, return on investment, earnings per share,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such period as may be required by the Ordinance.</w:t>
      </w:r>
    </w:p>
    <w:p>
      <w:pPr>
        <w:spacing w:after="0" w:line="171" w:lineRule="exact"/>
        <w:rPr>
          <w:sz w:val="20"/>
          <w:szCs w:val="20"/>
          <w:color w:val="auto"/>
        </w:rPr>
      </w:pPr>
    </w:p>
    <w:p>
      <w:pPr>
        <w:ind w:right="40" w:firstLine="816"/>
        <w:spacing w:after="0" w:line="256"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u w:val="single" w:color="auto"/>
          <w:color w:val="auto"/>
        </w:rPr>
        <w:t>Forfeiture; Repurchase</w:t>
      </w:r>
      <w:r>
        <w:rPr>
          <w:rFonts w:ascii="Arial" w:cs="Arial" w:eastAsia="Arial" w:hAnsi="Arial"/>
          <w:sz w:val="18"/>
          <w:szCs w:val="18"/>
          <w:color w:val="auto"/>
        </w:rPr>
        <w:t>. Subject to such exceptions as may be determined by the Committee, if the Grantee's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or service to the Company or any Affiliate thereof shall terminate for any reason prior to the expiration of the Restricted Period of an Award or prior to the timely payment in full of the Exercise Price of any Restricted Shares, any Shares remaining subject to vesting or with respect to which the purchase price has not been paid in full, shall thereupon be forfeited, transferred to, and redeemed, repurchased or cancelled by, as the case may be, in any manner as set forth in Section 6.6.2(i) thought (v), subject to Applicable Laws and the Grantee shall have no further rights with respect to such Restricted Shares.</w:t>
      </w:r>
    </w:p>
    <w:p>
      <w:pPr>
        <w:spacing w:after="0" w:line="187" w:lineRule="exact"/>
        <w:rPr>
          <w:sz w:val="20"/>
          <w:szCs w:val="20"/>
          <w:color w:val="auto"/>
        </w:rPr>
      </w:pPr>
    </w:p>
    <w:p>
      <w:pPr>
        <w:ind w:right="20" w:firstLine="816"/>
        <w:spacing w:after="0" w:line="26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 Restricted Shares,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6.10 and Section 11.2,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w:t>
      </w:r>
    </w:p>
    <w:p>
      <w:pPr>
        <w:spacing w:after="0" w:line="184"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An RSU is an Award covering a number of Shares that is settled, if vested and (if applicable) exercised, by issuance of those Shares. An RSU may be awarded to any eligible Grantee, including under Section 102 of the Ordinance,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required by Applicable Laws, a specific ruling is obtained from the ITA to grant RSUs as 102 Trustee Awards. The Award Agreement relating to the grant of RSUs under this Plan (the “Restricted Share Unit Agreement”),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48" w:name="page249"/>
    <w:bookmarkEnd w:id="248"/>
    <w:p>
      <w:pPr>
        <w:ind w:firstLine="816"/>
        <w:spacing w:after="0" w:line="312"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u w:val="single" w:color="auto"/>
          <w:color w:val="auto"/>
        </w:rPr>
        <w:t>Exercise Price</w:t>
      </w:r>
      <w:r>
        <w:rPr>
          <w:rFonts w:ascii="Arial" w:cs="Arial" w:eastAsia="Arial" w:hAnsi="Arial"/>
          <w:sz w:val="17"/>
          <w:szCs w:val="17"/>
          <w:color w:val="auto"/>
        </w:rPr>
        <w:t>. No payment of Exercise Price shall be required as consideration for RSUs, unless included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as required by Applicable Law (including, Section 304 of the Companies Law, 1999, as amended), and Section 6.4 shall apply, if applicable.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jc w:val="right"/>
              <w:ind w:right="710"/>
              <w:spacing w:after="0"/>
              <w:rPr>
                <w:sz w:val="20"/>
                <w:szCs w:val="20"/>
                <w:color w:val="auto"/>
              </w:rPr>
            </w:pPr>
            <w:r>
              <w:rPr>
                <w:rFonts w:ascii="Arial" w:cs="Arial" w:eastAsia="Arial" w:hAnsi="Arial"/>
                <w:sz w:val="18"/>
                <w:szCs w:val="18"/>
                <w:b w:val="1"/>
                <w:bCs w:val="1"/>
                <w:color w:val="auto"/>
              </w:rPr>
              <w:t>12.2</w:t>
            </w:r>
          </w:p>
        </w:tc>
        <w:tc>
          <w:tcPr>
            <w:tcW w:w="9140" w:type="dxa"/>
            <w:vAlign w:val="bottom"/>
            <w:gridSpan w:val="3"/>
          </w:tcPr>
          <w:p>
            <w:pPr>
              <w:spacing w:after="0"/>
              <w:rPr>
                <w:sz w:val="20"/>
                <w:szCs w:val="20"/>
                <w:color w:val="auto"/>
              </w:rPr>
            </w:pPr>
            <w:r>
              <w:rPr>
                <w:rFonts w:ascii="Arial" w:cs="Arial" w:eastAsia="Arial" w:hAnsi="Arial"/>
                <w:sz w:val="18"/>
                <w:szCs w:val="18"/>
                <w:color w:val="auto"/>
                <w:w w:val="91"/>
              </w:rPr>
              <w:t>Shareholders’ Rights. The Grantee shall not possess or own any ownership rights in the Shares underlying the RSUs and no</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37"/>
        </w:trPr>
        <w:tc>
          <w:tcPr>
            <w:tcW w:w="11080" w:type="dxa"/>
            <w:vAlign w:val="bottom"/>
            <w:gridSpan w:val="4"/>
          </w:tcPr>
          <w:p>
            <w:pPr>
              <w:spacing w:after="0"/>
              <w:rPr>
                <w:sz w:val="20"/>
                <w:szCs w:val="20"/>
                <w:color w:val="auto"/>
              </w:rPr>
            </w:pPr>
            <w:r>
              <w:rPr>
                <w:rFonts w:ascii="Arial" w:cs="Arial" w:eastAsia="Arial" w:hAnsi="Arial"/>
                <w:sz w:val="18"/>
                <w:szCs w:val="18"/>
                <w:color w:val="auto"/>
              </w:rPr>
              <w:t>rights as a shareholder shall exist prior to the actual issuance of Shares in the name of the Grantee.</w:t>
            </w:r>
          </w:p>
        </w:tc>
      </w:tr>
      <w:tr>
        <w:trPr>
          <w:trHeight w:val="392"/>
        </w:trPr>
        <w:tc>
          <w:tcPr>
            <w:tcW w:w="1940" w:type="dxa"/>
            <w:vAlign w:val="bottom"/>
          </w:tcPr>
          <w:p>
            <w:pPr>
              <w:jc w:val="right"/>
              <w:ind w:right="710"/>
              <w:spacing w:after="0"/>
              <w:rPr>
                <w:sz w:val="20"/>
                <w:szCs w:val="20"/>
                <w:color w:val="auto"/>
              </w:rPr>
            </w:pPr>
            <w:r>
              <w:rPr>
                <w:rFonts w:ascii="Arial" w:cs="Arial" w:eastAsia="Arial" w:hAnsi="Arial"/>
                <w:sz w:val="18"/>
                <w:szCs w:val="18"/>
                <w:b w:val="1"/>
                <w:bCs w:val="1"/>
                <w:color w:val="auto"/>
              </w:rPr>
              <w:t>12.3</w:t>
            </w:r>
          </w:p>
        </w:tc>
        <w:tc>
          <w:tcPr>
            <w:tcW w:w="9140" w:type="dxa"/>
            <w:vAlign w:val="bottom"/>
            <w:gridSpan w:val="3"/>
          </w:tcPr>
          <w:p>
            <w:pPr>
              <w:spacing w:after="0"/>
              <w:rPr>
                <w:sz w:val="20"/>
                <w:szCs w:val="20"/>
                <w:color w:val="auto"/>
              </w:rPr>
            </w:pPr>
            <w:r>
              <w:rPr>
                <w:rFonts w:ascii="Arial" w:cs="Arial" w:eastAsia="Arial" w:hAnsi="Arial"/>
                <w:sz w:val="18"/>
                <w:szCs w:val="18"/>
                <w:color w:val="auto"/>
                <w:w w:val="90"/>
              </w:rPr>
              <w:t>Settlements of Awards. Settlement of vested RSUs shall be made in the form of Shares. Distribution to a Grantee of an amount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(or amounts) from settlement of vested RSUs can be deferred to a date after settlement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180" w:lineRule="exact"/>
        <w:rPr>
          <w:sz w:val="20"/>
          <w:szCs w:val="20"/>
          <w:color w:val="auto"/>
        </w:rPr>
      </w:pPr>
    </w:p>
    <w:p>
      <w:pPr>
        <w:jc w:val="both"/>
        <w:ind w:right="20" w:firstLine="816"/>
        <w:spacing w:after="0" w:line="277"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u w:val="single" w:color="auto"/>
          <w:color w:val="auto"/>
        </w:rPr>
        <w:t>Section 409A Restrictions</w:t>
      </w:r>
      <w:r>
        <w:rPr>
          <w:rFonts w:ascii="Arial" w:cs="Arial" w:eastAsia="Arial" w:hAnsi="Arial"/>
          <w:sz w:val="17"/>
          <w:szCs w:val="17"/>
          <w:color w:val="auto"/>
        </w:rPr>
        <w:t>. Notwithstanding anything to the contrary set forth herein, any RSUs granted under this Plan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exempt from 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172"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SHARE OR SHARE-BASED AWARDS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w:t>
            </w:r>
          </w:p>
        </w:tc>
        <w:tc>
          <w:tcPr>
            <w:tcW w:w="10000" w:type="dxa"/>
            <w:vAlign w:val="bottom"/>
          </w:tcPr>
          <w:p>
            <w:pPr>
              <w:ind w:left="780"/>
              <w:spacing w:after="0"/>
              <w:rPr>
                <w:sz w:val="20"/>
                <w:szCs w:val="20"/>
                <w:color w:val="auto"/>
              </w:rPr>
            </w:pPr>
            <w:r>
              <w:rPr>
                <w:rFonts w:ascii="Arial" w:cs="Arial" w:eastAsia="Arial" w:hAnsi="Arial"/>
                <w:sz w:val="18"/>
                <w:szCs w:val="18"/>
                <w:color w:val="auto"/>
                <w:w w:val="94"/>
              </w:rPr>
              <w:t>The Committee may grant other Awards under this Plan pursuant to which Shares (which may, but need not, be Restricted</w:t>
            </w:r>
          </w:p>
        </w:tc>
      </w:tr>
      <w:tr>
        <w:trPr>
          <w:trHeight w:val="190"/>
        </w:trPr>
        <w:tc>
          <w:tcPr>
            <w:tcW w:w="11160" w:type="dxa"/>
            <w:vAlign w:val="bottom"/>
            <w:gridSpan w:val="3"/>
          </w:tcPr>
          <w:p>
            <w:pPr>
              <w:spacing w:after="0" w:line="190" w:lineRule="exact"/>
              <w:rPr>
                <w:sz w:val="20"/>
                <w:szCs w:val="20"/>
                <w:color w:val="auto"/>
              </w:rPr>
            </w:pPr>
            <w:r>
              <w:rPr>
                <w:rFonts w:ascii="Arial" w:cs="Arial" w:eastAsia="Arial" w:hAnsi="Arial"/>
                <w:sz w:val="18"/>
                <w:szCs w:val="18"/>
                <w:color w:val="auto"/>
                <w:w w:val="94"/>
              </w:rPr>
              <w:t>Shares pursuant to Section 11 hereof), cash (in settlement of Share-based Awards) or a combination thereof, are or may in the future be acquired or</w:t>
            </w:r>
          </w:p>
        </w:tc>
      </w:tr>
      <w:tr>
        <w:trPr>
          <w:trHeight w:val="20"/>
        </w:trPr>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237"/>
        </w:trPr>
        <w:tc>
          <w:tcPr>
            <w:tcW w:w="11160" w:type="dxa"/>
            <w:vAlign w:val="bottom"/>
            <w:gridSpan w:val="3"/>
          </w:tcPr>
          <w:p>
            <w:pPr>
              <w:spacing w:after="0"/>
              <w:rPr>
                <w:sz w:val="20"/>
                <w:szCs w:val="20"/>
                <w:color w:val="auto"/>
              </w:rPr>
            </w:pPr>
            <w:r>
              <w:rPr>
                <w:rFonts w:ascii="Arial" w:cs="Arial" w:eastAsia="Arial" w:hAnsi="Arial"/>
                <w:sz w:val="18"/>
                <w:szCs w:val="18"/>
                <w:color w:val="auto"/>
              </w:rPr>
              <w:t>received, or Awards denominated in stock units, including units valued on the basis of measures other than market value.</w:t>
            </w:r>
          </w:p>
        </w:tc>
      </w:tr>
      <w:tr>
        <w:trPr>
          <w:trHeight w:val="432"/>
        </w:trPr>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13.2</w:t>
            </w:r>
          </w:p>
        </w:tc>
        <w:tc>
          <w:tcPr>
            <w:tcW w:w="10000" w:type="dxa"/>
            <w:vAlign w:val="bottom"/>
          </w:tcPr>
          <w:p>
            <w:pPr>
              <w:ind w:left="780"/>
              <w:spacing w:after="0"/>
              <w:rPr>
                <w:sz w:val="20"/>
                <w:szCs w:val="20"/>
                <w:color w:val="auto"/>
              </w:rPr>
            </w:pPr>
            <w:r>
              <w:rPr>
                <w:rFonts w:ascii="Arial" w:cs="Arial" w:eastAsia="Arial" w:hAnsi="Arial"/>
                <w:sz w:val="18"/>
                <w:szCs w:val="18"/>
                <w:color w:val="auto"/>
                <w:w w:val="91"/>
              </w:rPr>
              <w:t>The Committee may also grant stock appreciation rights without the grant of an accompanying option, which rights shall permit</w:t>
            </w:r>
          </w:p>
        </w:tc>
      </w:tr>
    </w:tbl>
    <w:p>
      <w:pPr>
        <w:ind w:right="420"/>
        <w:spacing w:after="0" w:line="260" w:lineRule="auto"/>
        <w:rPr>
          <w:sz w:val="20"/>
          <w:szCs w:val="20"/>
          <w:color w:val="auto"/>
        </w:rPr>
      </w:pPr>
      <w:r>
        <w:rPr>
          <w:rFonts w:ascii="Arial" w:cs="Arial" w:eastAsia="Arial" w:hAnsi="Arial"/>
          <w:sz w:val="18"/>
          <w:szCs w:val="18"/>
          <w:color w:val="auto"/>
        </w:rPr>
        <w:t>the Grantees to receive, at the time of any exercise of such rights, cash equal to the amount by which the Fair Market Value of all Shares in respect to which the right was granted exceed the exercise price thereof.</w:t>
      </w:r>
    </w:p>
    <w:p>
      <w:pPr>
        <w:spacing w:after="0" w:line="181" w:lineRule="exact"/>
        <w:rPr>
          <w:sz w:val="20"/>
          <w:szCs w:val="20"/>
          <w:color w:val="auto"/>
        </w:rPr>
      </w:pPr>
    </w:p>
    <w:p>
      <w:pPr>
        <w:ind w:right="300" w:firstLine="816"/>
        <w:spacing w:after="0" w:line="28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Such other Share-based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above may be granted alone, in addition to, or in tandem with any Award of any</w:t>
      </w:r>
      <w:r>
        <w:rPr>
          <w:rFonts w:ascii="Arial" w:cs="Arial" w:eastAsia="Arial" w:hAnsi="Arial"/>
          <w:sz w:val="18"/>
          <w:szCs w:val="18"/>
          <w:b w:val="1"/>
          <w:bCs w:val="1"/>
          <w:color w:val="auto"/>
        </w:rPr>
        <w:t xml:space="preserve"> </w:t>
      </w:r>
      <w:r>
        <w:rPr>
          <w:rFonts w:ascii="Arial" w:cs="Arial" w:eastAsia="Arial" w:hAnsi="Arial"/>
          <w:sz w:val="18"/>
          <w:szCs w:val="18"/>
          <w:color w:val="auto"/>
        </w:rPr>
        <w:t>type granted under this Plan.</w:t>
      </w:r>
    </w:p>
    <w:p>
      <w:pPr>
        <w:spacing w:after="0" w:line="166"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 OF CERTAIN CHANGES</w:t>
      </w:r>
      <w:r>
        <w:rPr>
          <w:rFonts w:ascii="Arial" w:cs="Arial" w:eastAsia="Arial" w:hAnsi="Arial"/>
          <w:sz w:val="18"/>
          <w:szCs w:val="18"/>
          <w:color w:val="auto"/>
        </w:rPr>
        <w:t>.</w:t>
      </w:r>
    </w:p>
    <w:p>
      <w:pPr>
        <w:spacing w:after="0" w:line="221" w:lineRule="exact"/>
        <w:rPr>
          <w:sz w:val="20"/>
          <w:szCs w:val="20"/>
          <w:color w:val="auto"/>
        </w:rPr>
      </w:pPr>
    </w:p>
    <w:p>
      <w:pPr>
        <w:ind w:right="60" w:firstLine="816"/>
        <w:spacing w:after="0" w:line="270"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u w:val="single" w:color="auto"/>
          <w:color w:val="auto"/>
        </w:rPr>
        <w:t>General</w:t>
      </w:r>
      <w:r>
        <w:rPr>
          <w:rFonts w:ascii="Arial" w:cs="Arial" w:eastAsia="Arial" w:hAnsi="Arial"/>
          <w:sz w:val="17"/>
          <w:szCs w:val="17"/>
          <w:color w:val="auto"/>
        </w:rPr>
        <w:t>. In the event of a divisions or subdivision of the outstanding share capital of the Company, any distribution of bonus</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(stock split), consolidation or combination of share capital of the Company (reverse stock split), reclassification with respect to the Shares or any similar recapitalization events (each, a "Recapitalization"), reorganization (which may include a combination or exchange of shares, spin-off or other corporate divestiture or division, or other similar occurrences) then (i) the number of Shares reserved and available for grants of Awards and (ii) the number of Shares covered by outstanding Awards, , will be proportionately adjusted.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distribution of dividends to outstanding shareholders or other issuance of shares by the Company, unless the Committee determines otherwise. The adjustments determined pursuant to this Section 14.1 (including a determination that no adjustment is to be made) shall be final, binding and conclusive.</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249" w:name="page250"/>
    <w:bookmarkEnd w:id="249"/>
    <w:p>
      <w:pPr>
        <w:ind w:firstLine="816"/>
        <w:spacing w:after="0" w:line="289"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u w:val="single" w:color="auto"/>
          <w:color w:val="auto"/>
        </w:rPr>
        <w:t>Merger/Sale of Company</w:t>
      </w:r>
      <w:r>
        <w:rPr>
          <w:rFonts w:ascii="Arial" w:cs="Arial" w:eastAsia="Arial" w:hAnsi="Arial"/>
          <w:sz w:val="16"/>
          <w:szCs w:val="16"/>
          <w:color w:val="auto"/>
        </w:rPr>
        <w:t>. In the event of (i) a sale of all or substantially all of the assets of the Company, or a sale (including an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all 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or (iv) such other transaction or set of circumstances that is determined by the Board, in its discretion, to be a transaction subject to the provisions of this Section 14.2; excluding any of the above transactions in clauses (i) through (iii) if the Committee determines that such transaction should be excluded from the definition hereof and the applicability of this Section 14.2 (such transaction, a “Merger/Sale”), then, without derogating from the Committee’s general authority and power under this Plan, without the Grantee’s consent and action and without any prior notice requirement:</w:t>
      </w:r>
    </w:p>
    <w:p>
      <w:pPr>
        <w:spacing w:after="0" w:line="166" w:lineRule="exact"/>
        <w:rPr>
          <w:sz w:val="20"/>
          <w:szCs w:val="20"/>
          <w:color w:val="auto"/>
        </w:rPr>
      </w:pPr>
    </w:p>
    <w:p>
      <w:pPr>
        <w:ind w:right="120" w:firstLine="1531"/>
        <w:spacing w:after="0" w:line="261" w:lineRule="auto"/>
        <w:rPr>
          <w:sz w:val="20"/>
          <w:szCs w:val="20"/>
          <w:color w:val="auto"/>
        </w:rPr>
      </w:pPr>
      <w:r>
        <w:rPr>
          <w:rFonts w:ascii="Arial" w:cs="Arial" w:eastAsia="Arial" w:hAnsi="Arial"/>
          <w:sz w:val="18"/>
          <w:szCs w:val="18"/>
          <w:b w:val="1"/>
          <w:bCs w:val="1"/>
          <w:color w:val="auto"/>
        </w:rPr>
        <w:t xml:space="preserve">14.2.1 </w:t>
      </w:r>
      <w:r>
        <w:rPr>
          <w:rFonts w:ascii="Arial" w:cs="Arial" w:eastAsia="Arial" w:hAnsi="Arial"/>
          <w:sz w:val="18"/>
          <w:szCs w:val="18"/>
          <w:color w:val="auto"/>
        </w:rPr>
        <w:t>Unless otherwise determined by the Committee in its sole and absolute discretion, any Award then outstanding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assumed or be substituted by the Company, or by the successor corporation in such Merger/Sale or by any parent or Affiliate thereof, as determined by the Committee in its discretion (the “Successor Corporation”), under terms as determined by the Committee or the terms of this Plan applied by the Successor Corporation to such assumed or substituted Awards;</w:t>
      </w:r>
    </w:p>
    <w:p>
      <w:pPr>
        <w:spacing w:after="0" w:line="184" w:lineRule="exact"/>
        <w:rPr>
          <w:sz w:val="20"/>
          <w:szCs w:val="20"/>
          <w:color w:val="auto"/>
        </w:rPr>
      </w:pPr>
    </w:p>
    <w:p>
      <w:pPr>
        <w:ind w:left="1020" w:right="560"/>
        <w:spacing w:after="0" w:line="286" w:lineRule="auto"/>
        <w:rPr>
          <w:sz w:val="20"/>
          <w:szCs w:val="20"/>
          <w:color w:val="auto"/>
        </w:rPr>
      </w:pPr>
      <w:r>
        <w:rPr>
          <w:rFonts w:ascii="Arial" w:cs="Arial" w:eastAsia="Arial" w:hAnsi="Arial"/>
          <w:sz w:val="16"/>
          <w:szCs w:val="16"/>
          <w:color w:val="auto"/>
        </w:rPr>
        <w:t>For the purposes of this Section 14.2.1, the Award shall be considered assumed or substituted if, following a Merger/Sale, the Award confers on the holder thereof the right to purchase or receive, for each Share underlying an Award immediately prior to the Merger/Sale, either (i) the consideration (whether stock, cash, or other securities or property, or any combination thereof) distributed to or received by holders of Shares in the Merger/Sale for each Share held on the effective date of the Merger/Sale (and if holders were offered a choice or several types of consideration, the type of consideration as determined by the Committee), or (ii) regardless of the consideration received by the holders of Shares in the Merger/Sale, solely shares or any type of Awards (or their equivalent) of the Successor Corporation at a value to be determined by the Committee in its discretion, or a certain type of consideration (whether stock, cash, or other securities or property, or any combination thereof) as determined by the Committee. Any of the above consideration referred to clauses (i) and (ii) shall be subject to the same vesting and expiration terms of the Awards applying immediately prior to the Merger/Sale, unless the Committee determines in its discretion that the consideration shall be subject to different vesting and expiration terms, or other terms. The foregoing shall not limit the Committee's authority to determine, in its sole discretion, that in lieu of such assumption or substitution of Awards for Awards of the Successor Corporation, such Award will be substituted for any other type of asset or property, including as set forth in Section 14.2.2 hereunder.</w:t>
      </w:r>
    </w:p>
    <w:p>
      <w:pPr>
        <w:spacing w:after="0" w:line="170" w:lineRule="exact"/>
        <w:rPr>
          <w:sz w:val="20"/>
          <w:szCs w:val="20"/>
          <w:color w:val="auto"/>
        </w:rPr>
      </w:pPr>
    </w:p>
    <w:p>
      <w:pPr>
        <w:jc w:val="right"/>
        <w:spacing w:after="0"/>
        <w:tabs>
          <w:tab w:leader="none" w:pos="8500" w:val="left"/>
        </w:tabs>
        <w:rPr>
          <w:sz w:val="20"/>
          <w:szCs w:val="20"/>
          <w:color w:val="auto"/>
        </w:rPr>
      </w:pPr>
      <w:r>
        <w:rPr>
          <w:rFonts w:ascii="Arial" w:cs="Arial" w:eastAsia="Arial" w:hAnsi="Arial"/>
          <w:sz w:val="18"/>
          <w:szCs w:val="18"/>
          <w:b w:val="1"/>
          <w:bCs w:val="1"/>
          <w:color w:val="auto"/>
        </w:rPr>
        <w:t>14.2.2</w:t>
      </w:r>
      <w:r>
        <w:rPr>
          <w:sz w:val="20"/>
          <w:szCs w:val="20"/>
          <w:color w:val="auto"/>
        </w:rPr>
        <w:tab/>
      </w:r>
      <w:r>
        <w:rPr>
          <w:rFonts w:ascii="Arial" w:cs="Arial" w:eastAsia="Arial" w:hAnsi="Arial"/>
          <w:sz w:val="16"/>
          <w:szCs w:val="16"/>
          <w:color w:val="auto"/>
        </w:rPr>
        <w:t>Regardless of whether or not Awards are assumed or substituted, the Committee may (but shall not be obligated to),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its sole discretion:</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0" w:name="page251"/>
    <w:bookmarkEnd w:id="250"/>
    <w:p>
      <w:pPr>
        <w:ind w:firstLine="2347"/>
        <w:spacing w:after="0" w:line="277" w:lineRule="auto"/>
        <w:rPr>
          <w:sz w:val="20"/>
          <w:szCs w:val="20"/>
          <w:color w:val="auto"/>
        </w:rPr>
      </w:pPr>
      <w:r>
        <w:rPr>
          <w:rFonts w:ascii="Arial" w:cs="Arial" w:eastAsia="Arial" w:hAnsi="Arial"/>
          <w:sz w:val="17"/>
          <w:szCs w:val="17"/>
          <w:b w:val="1"/>
          <w:bCs w:val="1"/>
          <w:color w:val="auto"/>
        </w:rPr>
        <w:t xml:space="preserve">14.2.2.1 </w:t>
      </w:r>
      <w:r>
        <w:rPr>
          <w:rFonts w:ascii="Arial" w:cs="Arial" w:eastAsia="Arial" w:hAnsi="Arial"/>
          <w:sz w:val="17"/>
          <w:szCs w:val="17"/>
          <w:color w:val="auto"/>
        </w:rPr>
        <w:t>provide for the Grantee to have the right to exercise the Award in respect of Shares covered by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which would otherwise be exercisable or vested, under such terms and conditions as the Committee shall determine, and the cancellation of all unexercised and unvested Awards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 and/or</w:t>
      </w:r>
    </w:p>
    <w:p>
      <w:pPr>
        <w:spacing w:after="0" w:line="168" w:lineRule="exact"/>
        <w:rPr>
          <w:sz w:val="20"/>
          <w:szCs w:val="20"/>
          <w:color w:val="auto"/>
        </w:rPr>
      </w:pPr>
    </w:p>
    <w:p>
      <w:pPr>
        <w:ind w:right="100" w:firstLine="2347"/>
        <w:spacing w:after="0" w:line="255" w:lineRule="auto"/>
        <w:rPr>
          <w:sz w:val="20"/>
          <w:szCs w:val="20"/>
          <w:color w:val="auto"/>
        </w:rPr>
      </w:pPr>
      <w:r>
        <w:rPr>
          <w:rFonts w:ascii="Arial" w:cs="Arial" w:eastAsia="Arial" w:hAnsi="Arial"/>
          <w:sz w:val="18"/>
          <w:szCs w:val="18"/>
          <w:b w:val="1"/>
          <w:bCs w:val="1"/>
          <w:color w:val="auto"/>
        </w:rPr>
        <w:t xml:space="preserve">14.2.2.2 </w:t>
      </w:r>
      <w:r>
        <w:rPr>
          <w:rFonts w:ascii="Arial" w:cs="Arial" w:eastAsia="Arial" w:hAnsi="Arial"/>
          <w:sz w:val="18"/>
          <w:szCs w:val="18"/>
          <w:color w:val="auto"/>
        </w:rPr>
        <w:t>provide for the cancellation of each outstanding Award at or immediately prior to the closing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Merger/Sale, and payment to the Grantee of an amount in cash, shares of the Company, the acquiror or of a corporation or other business entity which is a party to the Merger/Sale or other property, as determined by the Committee to be fair in the circumstances, and subject to such terms and conditions as determined by the Committee. The Committee shall have full authority to select the method for determining the payment (being the Black-Scholes model or any other method). The Committee’s determination may further provide that payment shall be set to zero if the value of the Shares is determined to be less than the Exercise Price or in respect of Shares covered by the Award which would not otherwise be exercisable or vested, or that payment may be made only in excess of the Exercise Price.</w:t>
      </w:r>
    </w:p>
    <w:p>
      <w:pPr>
        <w:spacing w:after="0" w:line="189" w:lineRule="exact"/>
        <w:rPr>
          <w:sz w:val="20"/>
          <w:szCs w:val="20"/>
          <w:color w:val="auto"/>
        </w:rPr>
      </w:pPr>
    </w:p>
    <w:p>
      <w:pPr>
        <w:ind w:right="220" w:firstLine="1531"/>
        <w:spacing w:after="0" w:line="261" w:lineRule="auto"/>
        <w:rPr>
          <w:sz w:val="20"/>
          <w:szCs w:val="20"/>
          <w:color w:val="auto"/>
        </w:rPr>
      </w:pPr>
      <w:r>
        <w:rPr>
          <w:rFonts w:ascii="Arial" w:cs="Arial" w:eastAsia="Arial" w:hAnsi="Arial"/>
          <w:sz w:val="18"/>
          <w:szCs w:val="18"/>
          <w:b w:val="1"/>
          <w:bCs w:val="1"/>
          <w:color w:val="auto"/>
        </w:rPr>
        <w:t xml:space="preserve">14.2.3 </w:t>
      </w:r>
      <w:r>
        <w:rPr>
          <w:rFonts w:ascii="Arial" w:cs="Arial" w:eastAsia="Arial" w:hAnsi="Arial"/>
          <w:sz w:val="18"/>
          <w:szCs w:val="18"/>
          <w:color w:val="auto"/>
        </w:rPr>
        <w:t>The Committee may determine that any payments made in respect of Awards shall be made or delayed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payment of consideration to the holders of the Shares in connection with the Merger/Sale is made or delayed as a result of escrows, indemnification, earn outs, holdbacks or any other contingencies; and the terms and conditions applying to the payment made to the Grantees, including participation in escrow, indemnification, releases, earn-outs, holdbacks or any other contingencies.</w:t>
      </w:r>
    </w:p>
    <w:p>
      <w:pPr>
        <w:spacing w:after="0" w:line="180" w:lineRule="exact"/>
        <w:rPr>
          <w:sz w:val="20"/>
          <w:szCs w:val="20"/>
          <w:color w:val="auto"/>
        </w:rPr>
      </w:pPr>
    </w:p>
    <w:p>
      <w:pPr>
        <w:ind w:firstLine="1531"/>
        <w:spacing w:after="0" w:line="303" w:lineRule="auto"/>
        <w:rPr>
          <w:sz w:val="20"/>
          <w:szCs w:val="20"/>
          <w:color w:val="auto"/>
        </w:rPr>
      </w:pPr>
      <w:r>
        <w:rPr>
          <w:rFonts w:ascii="Arial" w:cs="Arial" w:eastAsia="Arial" w:hAnsi="Arial"/>
          <w:sz w:val="16"/>
          <w:szCs w:val="16"/>
          <w:b w:val="1"/>
          <w:bCs w:val="1"/>
          <w:color w:val="auto"/>
        </w:rPr>
        <w:t xml:space="preserve">14.2.4 </w:t>
      </w:r>
      <w:r>
        <w:rPr>
          <w:rFonts w:ascii="Arial" w:cs="Arial" w:eastAsia="Arial" w:hAnsi="Arial"/>
          <w:sz w:val="16"/>
          <w:szCs w:val="16"/>
          <w:color w:val="auto"/>
        </w:rPr>
        <w:t>Notwithstanding the foregoing, in the event of a Merger/Sale, the Committee may determine, in its sole discretion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upon completion of such Merger/Sale the terms of any Award be otherwise amended, modified or terminated, as the Committee shall deem in good faith to be appropriate and without any liability to the Company or its Affiliates and to their respective its officers, directors, employees and representatives and the respective successors and assigns of any of the foregoing in connection with the method of treatment or chosen course of action permitted hereunder.</w:t>
      </w:r>
    </w:p>
    <w:p>
      <w:pPr>
        <w:spacing w:after="0" w:line="151" w:lineRule="exact"/>
        <w:rPr>
          <w:sz w:val="20"/>
          <w:szCs w:val="20"/>
          <w:color w:val="auto"/>
        </w:rPr>
      </w:pPr>
    </w:p>
    <w:p>
      <w:pPr>
        <w:ind w:right="80" w:firstLine="1531"/>
        <w:spacing w:after="0" w:line="270" w:lineRule="auto"/>
        <w:rPr>
          <w:sz w:val="20"/>
          <w:szCs w:val="20"/>
          <w:color w:val="auto"/>
        </w:rPr>
      </w:pPr>
      <w:r>
        <w:rPr>
          <w:rFonts w:ascii="Arial" w:cs="Arial" w:eastAsia="Arial" w:hAnsi="Arial"/>
          <w:sz w:val="17"/>
          <w:szCs w:val="17"/>
          <w:b w:val="1"/>
          <w:bCs w:val="1"/>
          <w:color w:val="auto"/>
        </w:rPr>
        <w:t xml:space="preserve">14.2.5 </w:t>
      </w:r>
      <w:r>
        <w:rPr>
          <w:rFonts w:ascii="Arial" w:cs="Arial" w:eastAsia="Arial" w:hAnsi="Arial"/>
          <w:sz w:val="17"/>
          <w:szCs w:val="17"/>
          <w:color w:val="auto"/>
        </w:rPr>
        <w:t>Neither the authorities and powers of the Committee under this Section 14.2, nor the exercise or implementation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shall (i) be restricted or limited in any way by any adverse consequences (tax or otherwise) that may result to any holder of an Award, and (ii) as, inter alia,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and to their respective its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1" w:name="page252"/>
    <w:bookmarkEnd w:id="251"/>
    <w:tbl>
      <w:tblPr>
        <w:tblLayout w:type="fixed"/>
        <w:tblInd w:w="1540" w:type="dxa"/>
        <w:tblCellMar>
          <w:top w:w="0" w:type="dxa"/>
          <w:left w:w="0" w:type="dxa"/>
          <w:bottom w:w="0" w:type="dxa"/>
          <w:right w:w="0" w:type="dxa"/>
        </w:tblCellMar>
      </w:tblPr>
      <w:tr>
        <w:trPr>
          <w:trHeight w:val="234"/>
        </w:trPr>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14.2.6</w:t>
            </w:r>
          </w:p>
        </w:tc>
        <w:tc>
          <w:tcPr>
            <w:tcW w:w="8620" w:type="dxa"/>
            <w:vAlign w:val="bottom"/>
          </w:tcPr>
          <w:p>
            <w:pPr>
              <w:ind w:left="340"/>
              <w:spacing w:after="0"/>
              <w:rPr>
                <w:sz w:val="20"/>
                <w:szCs w:val="20"/>
                <w:color w:val="auto"/>
              </w:rPr>
            </w:pPr>
            <w:r>
              <w:rPr>
                <w:rFonts w:ascii="Arial" w:cs="Arial" w:eastAsia="Arial" w:hAnsi="Arial"/>
                <w:sz w:val="18"/>
                <w:szCs w:val="18"/>
                <w:color w:val="auto"/>
                <w:w w:val="95"/>
              </w:rPr>
              <w:t>The Committee’s determinations pursuant to this Section 14 shall be conclusive and binding on all Grantees.</w:t>
            </w:r>
          </w:p>
        </w:tc>
      </w:tr>
      <w:tr>
        <w:trPr>
          <w:trHeight w:val="432"/>
        </w:trPr>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14.2.7</w:t>
            </w:r>
          </w:p>
        </w:tc>
        <w:tc>
          <w:tcPr>
            <w:tcW w:w="8620" w:type="dxa"/>
            <w:vAlign w:val="bottom"/>
          </w:tcPr>
          <w:p>
            <w:pPr>
              <w:ind w:left="340"/>
              <w:spacing w:after="0"/>
              <w:rPr>
                <w:sz w:val="20"/>
                <w:szCs w:val="20"/>
                <w:color w:val="auto"/>
              </w:rPr>
            </w:pPr>
            <w:r>
              <w:rPr>
                <w:rFonts w:ascii="Arial" w:cs="Arial" w:eastAsia="Arial" w:hAnsi="Arial"/>
                <w:sz w:val="18"/>
                <w:szCs w:val="18"/>
                <w:color w:val="auto"/>
                <w:w w:val="90"/>
              </w:rPr>
              <w:t>If determined by the Committee, the Grantees shall be subject to the definitive agreement(s) in connection with the</w:t>
            </w:r>
          </w:p>
        </w:tc>
      </w:tr>
    </w:tbl>
    <w:p>
      <w:pPr>
        <w:ind w:right="120"/>
        <w:spacing w:after="0" w:line="253" w:lineRule="auto"/>
        <w:rPr>
          <w:sz w:val="20"/>
          <w:szCs w:val="20"/>
          <w:color w:val="auto"/>
        </w:rPr>
      </w:pPr>
      <w:r>
        <w:rPr>
          <w:rFonts w:ascii="Arial" w:cs="Arial" w:eastAsia="Arial" w:hAnsi="Arial"/>
          <w:sz w:val="18"/>
          <w:szCs w:val="18"/>
          <w:color w:val="auto"/>
        </w:rPr>
        <w:t>Merger/Sale as applying to holders of Shares including, such terms, conditions, representations, undertakings, liabilities, limitations, releases, indemnities, participating in transaction expenses and escrow arrangement, in each case as determined by the Committee. Each Grantee shall execute such separate agreement(s) or instruments as may be requested by the Company, the Successor Corporation or the acquiror in connection with such in such Merger/Sale and in the form required by them. The execution of such separate agreement(s) may be a condition to the receipt of assumed or substituted Awards, payment in lieu of the Award or the exercise of any Award.</w:t>
      </w:r>
    </w:p>
    <w:p>
      <w:pPr>
        <w:spacing w:after="0" w:line="187" w:lineRule="exact"/>
        <w:rPr>
          <w:sz w:val="20"/>
          <w:szCs w:val="20"/>
          <w:color w:val="auto"/>
        </w:rPr>
      </w:pPr>
    </w:p>
    <w:p>
      <w:pPr>
        <w:ind w:right="60" w:firstLine="816"/>
        <w:spacing w:after="0" w:line="254"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 Except as expressly provided in this Section 14 (if any), the Grantee of an Award hereunder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no rights by reason of any Recapitalization of shares of any class, any increase or decrease in the number of shares of any class, any dissolution, liquidation, reorganization (which may include a combination or exchange of shares, spin-off or other corporate divestiture or division, or other similar occurrences),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96"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u w:val="single" w:color="auto"/>
          <w:color w:val="auto"/>
        </w:rPr>
        <w:t>NON-TRANSFERABILITY OF AWARDS; SURVIVING BENEFICIARY</w:t>
      </w:r>
      <w:r>
        <w:rPr>
          <w:rFonts w:ascii="Arial" w:cs="Arial" w:eastAsia="Arial" w:hAnsi="Arial"/>
          <w:sz w:val="18"/>
          <w:szCs w:val="18"/>
          <w:color w:val="auto"/>
        </w:rPr>
        <w:t>.</w:t>
      </w:r>
    </w:p>
    <w:p>
      <w:pPr>
        <w:spacing w:after="0" w:line="221" w:lineRule="exact"/>
        <w:rPr>
          <w:sz w:val="20"/>
          <w:szCs w:val="20"/>
          <w:color w:val="auto"/>
        </w:rPr>
      </w:pPr>
    </w:p>
    <w:p>
      <w:pPr>
        <w:ind w:right="120" w:firstLine="816"/>
        <w:spacing w:after="0" w:line="288"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color w:val="auto"/>
        </w:rPr>
        <w:t>All Awards granted under this Plan by their terms shall not be transferable otherwise than by will or by the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unless otherwise determined by the Committee or under this Plan, provided that with respect to Shares issued upon exercise or (if applicable) the vesting of Awards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15.2</w:t>
            </w:r>
          </w:p>
        </w:tc>
        <w:tc>
          <w:tcPr>
            <w:tcW w:w="9700" w:type="dxa"/>
            <w:vAlign w:val="bottom"/>
          </w:tcPr>
          <w:p>
            <w:pPr>
              <w:ind w:left="400"/>
              <w:spacing w:after="0"/>
              <w:rPr>
                <w:sz w:val="20"/>
                <w:szCs w:val="20"/>
                <w:color w:val="auto"/>
              </w:rPr>
            </w:pPr>
            <w:r>
              <w:rPr>
                <w:rFonts w:ascii="Arial" w:cs="Arial" w:eastAsia="Arial" w:hAnsi="Arial"/>
                <w:sz w:val="18"/>
                <w:szCs w:val="18"/>
                <w:color w:val="auto"/>
                <w:w w:val="92"/>
              </w:rPr>
              <w:t>As long as the Shares are held by the Trustee in favor of the Grantee, all rights possessed by the Grantee over the Shares are</w:t>
            </w:r>
          </w:p>
        </w:tc>
      </w:tr>
      <w:tr>
        <w:trPr>
          <w:trHeight w:val="230"/>
        </w:trPr>
        <w:tc>
          <w:tcPr>
            <w:tcW w:w="11240" w:type="dxa"/>
            <w:vAlign w:val="bottom"/>
            <w:gridSpan w:val="2"/>
          </w:tcPr>
          <w:p>
            <w:pPr>
              <w:jc w:val="right"/>
              <w:ind w:right="2190"/>
              <w:spacing w:after="0"/>
              <w:rPr>
                <w:sz w:val="20"/>
                <w:szCs w:val="20"/>
                <w:color w:val="auto"/>
              </w:rPr>
            </w:pPr>
            <w:r>
              <w:rPr>
                <w:rFonts w:ascii="Arial" w:cs="Arial" w:eastAsia="Arial" w:hAnsi="Arial"/>
                <w:sz w:val="18"/>
                <w:szCs w:val="18"/>
                <w:color w:val="auto"/>
                <w:w w:val="90"/>
              </w:rPr>
              <w:t>personal, and may not be transferred, assigned, pledged or mortgaged, other than by will or laws of descent and distribution.</w:t>
            </w:r>
          </w:p>
        </w:tc>
      </w:tr>
      <w:tr>
        <w:trPr>
          <w:trHeight w:val="432"/>
        </w:trPr>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15.3</w:t>
            </w:r>
          </w:p>
        </w:tc>
        <w:tc>
          <w:tcPr>
            <w:tcW w:w="9700" w:type="dxa"/>
            <w:vAlign w:val="bottom"/>
          </w:tcPr>
          <w:p>
            <w:pPr>
              <w:ind w:left="400"/>
              <w:spacing w:after="0"/>
              <w:rPr>
                <w:sz w:val="20"/>
                <w:szCs w:val="20"/>
                <w:color w:val="auto"/>
              </w:rPr>
            </w:pPr>
            <w:r>
              <w:rPr>
                <w:rFonts w:ascii="Arial" w:cs="Arial" w:eastAsia="Arial" w:hAnsi="Arial"/>
                <w:sz w:val="18"/>
                <w:szCs w:val="18"/>
                <w:color w:val="auto"/>
                <w:w w:val="97"/>
              </w:rPr>
              <w:t>The provisions of this Section 15 shall apply to the Grantee and to any purchaser, assignee or transferee of any Shares.</w:t>
            </w:r>
          </w:p>
        </w:tc>
      </w:tr>
      <w:tr>
        <w:trPr>
          <w:trHeight w:val="540"/>
        </w:trPr>
        <w:tc>
          <w:tcPr>
            <w:tcW w:w="1540" w:type="dxa"/>
            <w:vAlign w:val="bottom"/>
          </w:tcPr>
          <w:p>
            <w:pPr>
              <w:spacing w:after="0"/>
              <w:rPr>
                <w:sz w:val="24"/>
                <w:szCs w:val="24"/>
                <w:color w:val="auto"/>
              </w:rPr>
            </w:pPr>
          </w:p>
        </w:tc>
        <w:tc>
          <w:tcPr>
            <w:tcW w:w="9700" w:type="dxa"/>
            <w:vAlign w:val="bottom"/>
          </w:tcPr>
          <w:p>
            <w:pPr>
              <w:jc w:val="right"/>
              <w:ind w:right="5330"/>
              <w:spacing w:after="0"/>
              <w:rPr>
                <w:sz w:val="20"/>
                <w:szCs w:val="20"/>
                <w:color w:val="auto"/>
              </w:rPr>
            </w:pPr>
            <w:r>
              <w:rPr>
                <w:rFonts w:ascii="Arial" w:cs="Arial" w:eastAsia="Arial" w:hAnsi="Arial"/>
                <w:sz w:val="18"/>
                <w:szCs w:val="18"/>
                <w:color w:val="auto"/>
              </w:rPr>
              <w:t>- 25 -</w:t>
            </w:r>
          </w:p>
        </w:tc>
      </w:tr>
      <w:tr>
        <w:trPr>
          <w:trHeight w:val="108"/>
        </w:trPr>
        <w:tc>
          <w:tcPr>
            <w:tcW w:w="1540" w:type="dxa"/>
            <w:vAlign w:val="bottom"/>
          </w:tcPr>
          <w:p>
            <w:pPr>
              <w:spacing w:after="0"/>
              <w:rPr>
                <w:sz w:val="9"/>
                <w:szCs w:val="9"/>
                <w:color w:val="auto"/>
              </w:rPr>
            </w:pPr>
          </w:p>
        </w:tc>
        <w:tc>
          <w:tcPr>
            <w:tcW w:w="9700" w:type="dxa"/>
            <w:vAlign w:val="bottom"/>
          </w:tcPr>
          <w:p>
            <w:pPr>
              <w:spacing w:after="0"/>
              <w:rPr>
                <w:sz w:val="9"/>
                <w:szCs w:val="9"/>
                <w:color w:val="auto"/>
              </w:rPr>
            </w:pPr>
          </w:p>
        </w:tc>
      </w:tr>
      <w:tr>
        <w:trPr>
          <w:trHeight w:val="68"/>
        </w:trPr>
        <w:tc>
          <w:tcPr>
            <w:tcW w:w="1540" w:type="dxa"/>
            <w:vAlign w:val="bottom"/>
            <w:shd w:val="clear" w:color="auto" w:fill="000000"/>
          </w:tcPr>
          <w:p>
            <w:pPr>
              <w:spacing w:after="0"/>
              <w:rPr>
                <w:sz w:val="5"/>
                <w:szCs w:val="5"/>
                <w:color w:val="auto"/>
              </w:rPr>
            </w:pPr>
          </w:p>
        </w:tc>
        <w:tc>
          <w:tcPr>
            <w:tcW w:w="9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252" w:name="page253"/>
    <w:bookmarkEnd w:id="252"/>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UPON ISSUANCE OF SHARES; GOVERNING PROVISIONS.</w:t>
      </w:r>
    </w:p>
    <w:p>
      <w:pPr>
        <w:spacing w:after="0" w:line="221" w:lineRule="exact"/>
        <w:rPr>
          <w:sz w:val="20"/>
          <w:szCs w:val="20"/>
          <w:color w:val="auto"/>
        </w:rPr>
      </w:pPr>
    </w:p>
    <w:p>
      <w:pPr>
        <w:ind w:right="20" w:firstLine="816"/>
        <w:spacing w:after="0" w:line="286"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u w:val="single" w:color="auto"/>
          <w:color w:val="auto"/>
        </w:rPr>
        <w:t>Legal Compliance</w:t>
      </w:r>
      <w:r>
        <w:rPr>
          <w:rFonts w:ascii="Arial" w:cs="Arial" w:eastAsia="Arial" w:hAnsi="Arial"/>
          <w:sz w:val="16"/>
          <w:szCs w:val="16"/>
          <w:color w:val="auto"/>
        </w:rPr>
        <w:t>. The grant of Awards and the issuance or Shares upon exercise or settlement of Awards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Applicable Laws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Laws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164" w:lineRule="exact"/>
        <w:rPr>
          <w:sz w:val="20"/>
          <w:szCs w:val="20"/>
          <w:color w:val="auto"/>
        </w:rPr>
      </w:pPr>
    </w:p>
    <w:p>
      <w:pPr>
        <w:ind w:firstLine="816"/>
        <w:spacing w:after="0" w:line="271"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u w:val="single" w:color="auto"/>
          <w:color w:val="auto"/>
        </w:rPr>
        <w:t>Provisions Governing Shares</w:t>
      </w:r>
      <w:r>
        <w:rPr>
          <w:rFonts w:ascii="Arial" w:cs="Arial" w:eastAsia="Arial" w:hAnsi="Arial"/>
          <w:sz w:val="17"/>
          <w:szCs w:val="17"/>
          <w:color w:val="auto"/>
        </w:rPr>
        <w:t>. Shares issued pursuant to an Award shall be subject to the Articles of Association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any limitation, restriction or obligation included in any shareholders agreement applicable to all or substantially all of the holders of shares (regardless of whether or not the Grantee is a formal party to such shareholders agreement), any other governing documents of the Company,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Grantee shall execute such separate agreement(s) as may be requested by the Company relating to matters set forth in this Section 16.2. The execution of such separate agreement(s) may be a condition by the Company to the exercise of any Award.</w:t>
      </w:r>
    </w:p>
    <w:p>
      <w:pPr>
        <w:spacing w:after="0" w:line="174" w:lineRule="exact"/>
        <w:rPr>
          <w:sz w:val="20"/>
          <w:szCs w:val="20"/>
          <w:color w:val="auto"/>
        </w:rPr>
      </w:pPr>
    </w:p>
    <w:p>
      <w:pPr>
        <w:ind w:firstLine="816"/>
        <w:spacing w:after="0" w:line="271"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u w:val="single" w:color="auto"/>
          <w:color w:val="auto"/>
        </w:rPr>
        <w:t>Forced Sale</w:t>
      </w:r>
      <w:r>
        <w:rPr>
          <w:rFonts w:ascii="Arial" w:cs="Arial" w:eastAsia="Arial" w:hAnsi="Arial"/>
          <w:sz w:val="17"/>
          <w:szCs w:val="17"/>
          <w:color w:val="auto"/>
        </w:rPr>
        <w:t>. In the event the that Board approves a Merger/Sale effected by way of a forced or compulsory sale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Company’s Articles of Association or pursuant to Section 341 of the Companies Law), then, without derogating from such provisions and in addition thereto, the Grantee shall be obligated, and shall be deemed to have agreed to the offer to effect the Merger/Sale on the terms approved by the Board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rights related to any of the foregoing. The proxy pursuant to Section 6.10 includes an authorization of the holder of such proxy to sign, by and on behalf of any Grantee, such documents and agreements as are required to affect the sale of Shares in connection with such Merger/Sale.</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53" w:name="page254"/>
    <w:bookmarkEnd w:id="253"/>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u w:val="single" w:color="auto"/>
          <w:color w:val="auto"/>
        </w:rPr>
        <w:t>MARKET STAND-OFF</w:t>
      </w:r>
    </w:p>
    <w:p>
      <w:pPr>
        <w:spacing w:after="0" w:line="221" w:lineRule="exact"/>
        <w:rPr>
          <w:sz w:val="20"/>
          <w:szCs w:val="20"/>
          <w:color w:val="auto"/>
        </w:rPr>
      </w:pPr>
    </w:p>
    <w:p>
      <w:pPr>
        <w:ind w:right="60" w:firstLine="816"/>
        <w:spacing w:after="0" w:line="267"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color w:val="auto"/>
        </w:rPr>
        <w:t>In connection with any underwritten public offering of equity securities of the Company pursuant to an effective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 filed under the Securities Act or equivalent law in another jurisdiction, the Grantee shall not directly or indirectly, without the prior written consent of the Company or its underwriters, (i) lend, offer, pledge, sell, contract to sell, sell any option or contract to purchase, purchase any option or contract to sell, grant any option, right or warrant to purchase, or otherwise transfer or dispose of, directly or indirectly, any Shares or other Awards, any securities of the Company (whether or not such Shares were acquired under this Plan), or any securities convertible into or exercisable or exchangeable (directly or indirectly) for Shares or securities of the Company and any other shares or securities issued or distributed in respect thereto or in substitution thereof (collectively, “Securities”), or (ii) enter into any swap or other arrangement that transfers to another, in whole or in part, any of the economic consequences of ownership of the Securities, whether any such transaction described in clauses (i) or (ii) is to be settled by delivery of Securities, in cash or otherwise. The foregoing provisions of this </w:t>
      </w:r>
      <w:r>
        <w:rPr>
          <w:rFonts w:ascii="Arial" w:cs="Arial" w:eastAsia="Arial" w:hAnsi="Arial"/>
          <w:sz w:val="17"/>
          <w:szCs w:val="17"/>
          <w:u w:val="single" w:color="auto"/>
          <w:color w:val="auto"/>
        </w:rPr>
        <w:t>Section 17.1</w:t>
      </w:r>
      <w:r>
        <w:rPr>
          <w:rFonts w:ascii="Arial" w:cs="Arial" w:eastAsia="Arial" w:hAnsi="Arial"/>
          <w:sz w:val="17"/>
          <w:szCs w:val="17"/>
          <w:color w:val="auto"/>
        </w:rPr>
        <w:t xml:space="preserve"> shall not apply to the sale of any shares to an underwriter pursuant to an underwriting agreement. Such restrictions (the “Market Stand-Off”) shall be in effect for such period of time (the “Market Stand-Off Period”): (A) following the first public filing of the registration statement relating to the underwritten public offering until the extirpation of 180 days following the effective date of such registration statement relating to the Company’s initial public offering or 90 days following the effective date of such registration statement relating to any other public offering, in each case, provided, however, that if (1) during the last 17 days of the initial Market Stand-Off Period, the Company releases earnings results or announces material news or a material event or (2) prior to the expiration of the initial Market Stand-Off Period, the Company announces that it will release earnings results during the 15-day period following the last day of the initial Market Stand-Off Period, then in each case the Market Stand-Off Period will be automatically extended until the expiration of the 18-day period beginning on the date of release of the earnings results or the announcement of the material news or material event; or (B) such other period as shall be requested by the Company or the underwriters. Notwithstanding anything herein to the contrary, if the underwriter(s) and the Company agree on a termination date of the Market Stand-Off Period in the event of failure to consummation a certain public offering, then such termination shall apply also to the Market Stand-Off Period hereunder with respect to that particular public offering.</w:t>
      </w:r>
    </w:p>
    <w:p>
      <w:pPr>
        <w:spacing w:after="0" w:line="187" w:lineRule="exact"/>
        <w:rPr>
          <w:sz w:val="20"/>
          <w:szCs w:val="20"/>
          <w:color w:val="auto"/>
        </w:rPr>
      </w:pPr>
    </w:p>
    <w:p>
      <w:pPr>
        <w:ind w:firstLine="816"/>
        <w:spacing w:after="0" w:line="256"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In the event of a subdivision of the outstanding share capital of the Company, the distribution of any securities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whether as bonus shares or otherwise, and whether as dividend or otherwise, a recapitalization, a reorganization (which may include a combination or exchange of shares or a similar transaction affecting the Company’s outstanding securities without receipt of consideration), a consolidation, a spin-off or other corporate divestiture or division, a reclassification or other similar occurrence,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20"/>
        </w:trPr>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17.3</w:t>
            </w:r>
          </w:p>
        </w:tc>
        <w:tc>
          <w:tcPr>
            <w:tcW w:w="9640" w:type="dxa"/>
            <w:vAlign w:val="bottom"/>
          </w:tcPr>
          <w:p>
            <w:pPr>
              <w:ind w:left="400"/>
              <w:spacing w:after="0"/>
              <w:rPr>
                <w:sz w:val="20"/>
                <w:szCs w:val="20"/>
                <w:color w:val="auto"/>
              </w:rPr>
            </w:pPr>
            <w:r>
              <w:rPr>
                <w:rFonts w:ascii="Arial" w:cs="Arial" w:eastAsia="Arial" w:hAnsi="Arial"/>
                <w:sz w:val="18"/>
                <w:szCs w:val="18"/>
                <w:color w:val="auto"/>
                <w:w w:val="96"/>
              </w:rPr>
              <w:t>In order to enforce the Market Stand-Off, the Company may impose stop-transfer instructions with respect to the Shares</w:t>
            </w:r>
          </w:p>
        </w:tc>
      </w:tr>
      <w:tr>
        <w:trPr>
          <w:trHeight w:val="230"/>
        </w:trPr>
        <w:tc>
          <w:tcPr>
            <w:tcW w:w="11180" w:type="dxa"/>
            <w:vAlign w:val="bottom"/>
            <w:gridSpan w:val="2"/>
          </w:tcPr>
          <w:p>
            <w:pPr>
              <w:spacing w:after="0"/>
              <w:rPr>
                <w:sz w:val="20"/>
                <w:szCs w:val="20"/>
                <w:color w:val="auto"/>
              </w:rPr>
            </w:pPr>
            <w:r>
              <w:rPr>
                <w:rFonts w:ascii="Arial" w:cs="Arial" w:eastAsia="Arial" w:hAnsi="Arial"/>
                <w:sz w:val="18"/>
                <w:szCs w:val="18"/>
                <w:color w:val="auto"/>
              </w:rPr>
              <w:t>acquired under this Plan until the end of the applicable Market Stand-Off period.</w:t>
            </w:r>
          </w:p>
        </w:tc>
      </w:tr>
      <w:tr>
        <w:trPr>
          <w:trHeight w:val="432"/>
        </w:trPr>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17.4</w:t>
            </w:r>
          </w:p>
        </w:tc>
        <w:tc>
          <w:tcPr>
            <w:tcW w:w="9640" w:type="dxa"/>
            <w:vAlign w:val="bottom"/>
          </w:tcPr>
          <w:p>
            <w:pPr>
              <w:ind w:left="400"/>
              <w:spacing w:after="0"/>
              <w:rPr>
                <w:sz w:val="20"/>
                <w:szCs w:val="20"/>
                <w:color w:val="auto"/>
              </w:rPr>
            </w:pPr>
            <w:r>
              <w:rPr>
                <w:rFonts w:ascii="Arial" w:cs="Arial" w:eastAsia="Arial" w:hAnsi="Arial"/>
                <w:sz w:val="18"/>
                <w:szCs w:val="18"/>
                <w:color w:val="auto"/>
                <w:w w:val="91"/>
              </w:rPr>
              <w:t>The underwriters in connection with a registration statement so filed are intended third party beneficiaries of this Section 17 and</w:t>
            </w:r>
          </w:p>
        </w:tc>
      </w:tr>
    </w:tbl>
    <w:p>
      <w:pPr>
        <w:ind w:right="40"/>
        <w:spacing w:after="0" w:line="253" w:lineRule="auto"/>
        <w:rPr>
          <w:sz w:val="20"/>
          <w:szCs w:val="20"/>
          <w:color w:val="auto"/>
        </w:rPr>
      </w:pPr>
      <w:r>
        <w:rPr>
          <w:rFonts w:ascii="Arial" w:cs="Arial" w:eastAsia="Arial" w:hAnsi="Arial"/>
          <w:sz w:val="18"/>
          <w:szCs w:val="18"/>
          <w:color w:val="auto"/>
        </w:rPr>
        <w:t>shall have the right, power and authority to enforce the provisions hereof as though they were a party hereto. Each Grantee shall execute such separate agreement(s) as may be requested by the Company or the underwriters in connection with such registration statement and in the form required by them, relating to Market Stand-Off (which need not be identical to the provisions of this Section 17, and may include such additional provisions and restrictions as the underwriters deem advisable) or that are necessary to give further effect thereto. The execution of such separate agreement(s) may be a condition by the Company to the exercise of any Award.</w:t>
      </w:r>
    </w:p>
    <w:p>
      <w:pPr>
        <w:spacing w:after="0" w:line="187" w:lineRule="exact"/>
        <w:rPr>
          <w:sz w:val="20"/>
          <w:szCs w:val="20"/>
          <w:color w:val="auto"/>
        </w:rPr>
      </w:pPr>
    </w:p>
    <w:p>
      <w:pPr>
        <w:ind w:right="100" w:firstLine="816"/>
        <w:spacing w:after="0" w:line="266"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Without derogating from the above provisions of this Section 17 or elsewhere in this Plan, the provisions of this Section 17</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to the Grantee and the Grantee’s heirs, legal representatives, successors, assigns, and to any purchaser, assignee or transferee of any Awards or Shares.</w:t>
      </w:r>
    </w:p>
    <w:p>
      <w:pPr>
        <w:spacing w:after="0" w:line="180"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u w:val="single" w:color="auto"/>
          <w:color w:val="auto"/>
        </w:rPr>
        <w:t>AGREEMENT REGARDING TAXES; DISCLAIMER</w:t>
      </w:r>
      <w:r>
        <w:rPr>
          <w:rFonts w:ascii="Arial" w:cs="Arial" w:eastAsia="Arial" w:hAnsi="Arial"/>
          <w:sz w:val="18"/>
          <w:szCs w:val="18"/>
          <w:color w:val="auto"/>
        </w:rPr>
        <w:t>.</w:t>
      </w:r>
    </w:p>
    <w:p>
      <w:pPr>
        <w:spacing w:after="0" w:line="221" w:lineRule="exact"/>
        <w:rPr>
          <w:sz w:val="20"/>
          <w:szCs w:val="20"/>
          <w:color w:val="auto"/>
        </w:rPr>
      </w:pPr>
    </w:p>
    <w:p>
      <w:pPr>
        <w:ind w:right="60" w:firstLine="816"/>
        <w:spacing w:after="0" w:line="26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If the Committee shall so require, as a condition of exercise of an Award, the release of Shares by the Trustee or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Period, a Grantee shall agree that, no later than the date of such occurrence, the Grantee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180" w:lineRule="exact"/>
        <w:rPr>
          <w:sz w:val="20"/>
          <w:szCs w:val="20"/>
          <w:color w:val="auto"/>
        </w:rPr>
      </w:pPr>
    </w:p>
    <w:p>
      <w:pPr>
        <w:ind w:right="100" w:firstLine="816"/>
        <w:spacing w:after="0" w:line="253"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u w:val="single" w:color="auto"/>
          <w:color w:val="auto"/>
        </w:rPr>
        <w:t>TAX LIABILITY</w:t>
      </w:r>
      <w:r>
        <w:rPr>
          <w:rFonts w:ascii="Arial" w:cs="Arial" w:eastAsia="Arial" w:hAnsi="Arial"/>
          <w:sz w:val="18"/>
          <w:szCs w:val="18"/>
          <w:color w:val="auto"/>
        </w:rPr>
        <w:t>. ALL TAX CONSEQUENCES UNDER ANY APPLICABLE LAW WHICH MAY ARISE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ANY AWARDS OR THE EXERCISE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jc w:val="right"/>
              <w:ind w:right="710"/>
              <w:spacing w:after="0"/>
              <w:rPr>
                <w:sz w:val="20"/>
                <w:szCs w:val="20"/>
                <w:color w:val="auto"/>
              </w:rPr>
            </w:pPr>
            <w:r>
              <w:rPr>
                <w:rFonts w:ascii="Arial" w:cs="Arial" w:eastAsia="Arial" w:hAnsi="Arial"/>
                <w:sz w:val="18"/>
                <w:szCs w:val="18"/>
                <w:b w:val="1"/>
                <w:bCs w:val="1"/>
                <w:color w:val="auto"/>
              </w:rPr>
              <w:t>18.3</w:t>
            </w:r>
          </w:p>
        </w:tc>
        <w:tc>
          <w:tcPr>
            <w:tcW w:w="9220" w:type="dxa"/>
            <w:vAlign w:val="bottom"/>
            <w:gridSpan w:val="3"/>
          </w:tcPr>
          <w:p>
            <w:pPr>
              <w:spacing w:after="0"/>
              <w:rPr>
                <w:sz w:val="20"/>
                <w:szCs w:val="20"/>
                <w:color w:val="auto"/>
              </w:rPr>
            </w:pPr>
            <w:r>
              <w:rPr>
                <w:rFonts w:ascii="Arial" w:cs="Arial" w:eastAsia="Arial" w:hAnsi="Arial"/>
                <w:sz w:val="18"/>
                <w:szCs w:val="18"/>
                <w:color w:val="auto"/>
                <w:w w:val="96"/>
              </w:rPr>
              <w:t>NO TAX ADVISE. THE GRANTEE IS ADVISED TO CONSULT WITH A TAX ADVISOR WITH RESPECT TO THE TAX</w:t>
            </w:r>
          </w:p>
        </w:tc>
      </w:tr>
      <w:tr>
        <w:trPr>
          <w:trHeight w:val="20"/>
        </w:trPr>
        <w:tc>
          <w:tcPr>
            <w:tcW w:w="1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22"/>
        </w:trPr>
        <w:tc>
          <w:tcPr>
            <w:tcW w:w="11160" w:type="dxa"/>
            <w:vAlign w:val="bottom"/>
            <w:gridSpan w:val="4"/>
          </w:tcPr>
          <w:p>
            <w:pPr>
              <w:spacing w:after="0"/>
              <w:rPr>
                <w:sz w:val="20"/>
                <w:szCs w:val="20"/>
                <w:color w:val="auto"/>
              </w:rPr>
            </w:pPr>
            <w:r>
              <w:rPr>
                <w:rFonts w:ascii="Arial" w:cs="Arial" w:eastAsia="Arial" w:hAnsi="Arial"/>
                <w:sz w:val="18"/>
                <w:szCs w:val="18"/>
                <w:color w:val="auto"/>
                <w:w w:val="97"/>
              </w:rPr>
              <w:t>CONSEQUENCES OF RECEIVING, EXERCISING OR DISPOSING OF AWARDS HEREUNDER. THE COMPANY DOES NOT ASSUME ANY</w:t>
            </w:r>
          </w:p>
        </w:tc>
      </w:tr>
      <w:tr>
        <w:trPr>
          <w:trHeight w:val="216"/>
        </w:trPr>
        <w:tc>
          <w:tcPr>
            <w:tcW w:w="11160" w:type="dxa"/>
            <w:vAlign w:val="bottom"/>
            <w:gridSpan w:val="4"/>
          </w:tcPr>
          <w:p>
            <w:pPr>
              <w:spacing w:after="0"/>
              <w:rPr>
                <w:sz w:val="20"/>
                <w:szCs w:val="20"/>
                <w:color w:val="auto"/>
              </w:rPr>
            </w:pPr>
            <w:r>
              <w:rPr>
                <w:rFonts w:ascii="Arial" w:cs="Arial" w:eastAsia="Arial" w:hAnsi="Arial"/>
                <w:sz w:val="18"/>
                <w:szCs w:val="18"/>
                <w:color w:val="auto"/>
              </w:rPr>
              <w:t>RESPONSIBILITY TO ADVISE THE GRANTEE ON SUCH MATTERS, WHICH SHALL REMAIN SOLELY THE RESPONSIBILITY OF THE</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GRANTEE.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Pr>
          <w:p>
            <w:pPr>
              <w:spacing w:after="0"/>
              <w:rPr>
                <w:sz w:val="20"/>
                <w:szCs w:val="20"/>
                <w:color w:val="auto"/>
              </w:rPr>
            </w:pPr>
          </w:p>
        </w:tc>
      </w:tr>
      <w:tr>
        <w:trPr>
          <w:trHeight w:val="391"/>
        </w:trPr>
        <w:tc>
          <w:tcPr>
            <w:tcW w:w="1940" w:type="dxa"/>
            <w:vAlign w:val="bottom"/>
          </w:tcPr>
          <w:p>
            <w:pPr>
              <w:jc w:val="right"/>
              <w:ind w:right="710"/>
              <w:spacing w:after="0"/>
              <w:rPr>
                <w:sz w:val="20"/>
                <w:szCs w:val="20"/>
                <w:color w:val="auto"/>
              </w:rPr>
            </w:pPr>
            <w:r>
              <w:rPr>
                <w:rFonts w:ascii="Arial" w:cs="Arial" w:eastAsia="Arial" w:hAnsi="Arial"/>
                <w:sz w:val="18"/>
                <w:szCs w:val="18"/>
                <w:b w:val="1"/>
                <w:bCs w:val="1"/>
                <w:color w:val="auto"/>
              </w:rPr>
              <w:t>18.4</w:t>
            </w:r>
          </w:p>
        </w:tc>
        <w:tc>
          <w:tcPr>
            <w:tcW w:w="9220" w:type="dxa"/>
            <w:vAlign w:val="bottom"/>
            <w:gridSpan w:val="3"/>
          </w:tcPr>
          <w:p>
            <w:pPr>
              <w:spacing w:after="0"/>
              <w:rPr>
                <w:sz w:val="20"/>
                <w:szCs w:val="20"/>
                <w:color w:val="auto"/>
              </w:rPr>
            </w:pPr>
            <w:r>
              <w:rPr>
                <w:rFonts w:ascii="Arial" w:cs="Arial" w:eastAsia="Arial" w:hAnsi="Arial"/>
                <w:sz w:val="18"/>
                <w:szCs w:val="18"/>
                <w:color w:val="auto"/>
                <w:w w:val="98"/>
              </w:rPr>
              <w:t>TAX TREATMENT. THE COMPANY DOES NOT UNDERTAKE OR ASSUME ANY LIABILITY OR RESPONSIBILITY</w:t>
            </w:r>
          </w:p>
        </w:tc>
      </w:tr>
      <w:tr>
        <w:trPr>
          <w:trHeight w:val="20"/>
        </w:trPr>
        <w:tc>
          <w:tcPr>
            <w:tcW w:w="1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DOES NOT UNDERTAKE AND SHALL NOT BE REQUIRED TO TAKE ANY ACTION IN ORDER TO QUALIFY THE AWARD WITH THE REQUIREMENT OF ANY PARTICULAR TAX TREATMENT AND NO INDICATION IN ANY DOCUMENT TO THE EFFECT THE ANY AWARD IS INTENDED TO QUALIFY FOR ANY TAX TREATMENT SHALL IMPLY SUCH AN UNDERTAKING. NO ASSURANCE IS MADE BY THE COMPANY OR ANY OF ITS AFFILIATES THAT ANY PARTICULAR TAX TREATMENT ON THE DATE OF GRANT WILL CONTINUE TO EXIST OR THAT THE AWARD WOULD QUALIFY AT THE TIME OF EXERCISE OR DISPOSITION THEREOF WITH ANY PARTICULAR TAX TREATMENT. THE COMPANY AND ITS AFFILIATES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5" w:name="page256"/>
    <w:bookmarkEnd w:id="255"/>
    <w:p>
      <w:pPr>
        <w:ind w:firstLine="816"/>
        <w:spacing w:after="0" w:line="270" w:lineRule="auto"/>
        <w:rPr>
          <w:sz w:val="20"/>
          <w:szCs w:val="20"/>
          <w:color w:val="auto"/>
        </w:rPr>
      </w:pPr>
      <w:r>
        <w:rPr>
          <w:rFonts w:ascii="Arial" w:cs="Arial" w:eastAsia="Arial" w:hAnsi="Arial"/>
          <w:sz w:val="17"/>
          <w:szCs w:val="17"/>
          <w:b w:val="1"/>
          <w:bCs w:val="1"/>
          <w:color w:val="auto"/>
        </w:rPr>
        <w:t xml:space="preserve">18.5 </w:t>
      </w:r>
      <w:r>
        <w:rPr>
          <w:rFonts w:ascii="Arial" w:cs="Arial" w:eastAsia="Arial" w:hAnsi="Arial"/>
          <w:sz w:val="17"/>
          <w:szCs w:val="17"/>
          <w:color w:val="auto"/>
        </w:rPr>
        <w:t>The Company or any Subsidiary or Affiliate may take such action as it may deem necessary or appropriate, in its discretion,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or in connection with withholding of any taxes and compulsory payments which the Trustee, the Company or any Subsidiary or Affiliate is required by any Applicable Law to withhold in connection with any Awards (collectively, “Withholding Obligations”). Such actions may include (i) requiring a Grantees to remit to the Company in cash an amount sufficient to satisfy such Withholding Obligations and any other taxes and compulsory payments, payable by the Company in connection with the Award or the exercise or (if applicable) the vesting thereof; (ii) subject to Applicable Law, allowing the Grantees to provide Shares to the Company,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177" w:lineRule="exact"/>
        <w:rPr>
          <w:sz w:val="20"/>
          <w:szCs w:val="20"/>
          <w:color w:val="auto"/>
        </w:rPr>
      </w:pPr>
    </w:p>
    <w:p>
      <w:pPr>
        <w:ind w:right="20" w:firstLine="816"/>
        <w:spacing w:after="0" w:line="256"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Each Grantee shall notify the Company in writing promptly and in any event within ten (10) days after the date on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87" w:lineRule="exact"/>
        <w:rPr>
          <w:sz w:val="20"/>
          <w:szCs w:val="20"/>
          <w:color w:val="auto"/>
        </w:rPr>
      </w:pPr>
    </w:p>
    <w:p>
      <w:pPr>
        <w:ind w:right="220" w:firstLine="816"/>
        <w:spacing w:after="0" w:line="266"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With respect to 102 Non-Trustee Options, if the Grantee ceases to be employed by the Company or any Affiliate,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extend to the Company and/or its Affiliate with whom the Grantee is employed a security or guarantee for the payment of taxes due at the time of sale of Shares, all in accordance with the provisions of Section 102 of the Ordinance and the Rules.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6" w:name="page257"/>
    <w:bookmarkEnd w:id="256"/>
    <w:p>
      <w:pPr>
        <w:ind w:firstLine="816"/>
        <w:spacing w:after="0" w:line="289" w:lineRule="auto"/>
        <w:rPr>
          <w:sz w:val="20"/>
          <w:szCs w:val="20"/>
          <w:color w:val="auto"/>
        </w:rPr>
      </w:pPr>
      <w:r>
        <w:rPr>
          <w:rFonts w:ascii="Arial" w:cs="Arial" w:eastAsia="Arial" w:hAnsi="Arial"/>
          <w:sz w:val="16"/>
          <w:szCs w:val="16"/>
          <w:b w:val="1"/>
          <w:bCs w:val="1"/>
          <w:color w:val="auto"/>
        </w:rPr>
        <w:t xml:space="preserve">18.8 </w:t>
      </w:r>
      <w:r>
        <w:rPr>
          <w:rFonts w:ascii="Arial" w:cs="Arial" w:eastAsia="Arial" w:hAnsi="Arial"/>
          <w:sz w:val="16"/>
          <w:szCs w:val="16"/>
          <w:color w:val="auto"/>
        </w:rPr>
        <w:t>For the purpose hereof “tax(es)” means (a) all federal, state, local or foreign taxes, charges, fees, imposts, levies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assessments, including all income, capital gains, transfer, withholding, payroll, employment, social security, national security, health tax, wealth surtax, stamp, registration and estimated taxes, customs duties, fees, assessments and charges of any similar kind whatsoever (including under Section 280G of the Code),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group for any taxable period, including under U.S. Treasury Regulations Section 1.1502-6(a) (or any predecessor or successor thereof of any analogous or similar provision under Law) or otherwise.</w:t>
      </w:r>
    </w:p>
    <w:p>
      <w:pPr>
        <w:spacing w:after="0" w:line="170"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AS A SHAREHOLDER; VOTING AND DIVIDENDS</w:t>
      </w:r>
      <w:r>
        <w:rPr>
          <w:rFonts w:ascii="Arial" w:cs="Arial" w:eastAsia="Arial" w:hAnsi="Arial"/>
          <w:sz w:val="18"/>
          <w:szCs w:val="18"/>
          <w:color w:val="auto"/>
        </w:rPr>
        <w:t>.</w:t>
      </w:r>
    </w:p>
    <w:p>
      <w:pPr>
        <w:spacing w:after="0" w:line="221" w:lineRule="exact"/>
        <w:rPr>
          <w:sz w:val="20"/>
          <w:szCs w:val="20"/>
          <w:color w:val="auto"/>
        </w:rPr>
      </w:pPr>
    </w:p>
    <w:p>
      <w:pPr>
        <w:ind w:right="20" w:firstLine="816"/>
        <w:spacing w:after="0" w:line="289" w:lineRule="auto"/>
        <w:rPr>
          <w:sz w:val="20"/>
          <w:szCs w:val="20"/>
          <w:color w:val="auto"/>
        </w:rPr>
      </w:pPr>
      <w:r>
        <w:rPr>
          <w:rFonts w:ascii="Arial" w:cs="Arial" w:eastAsia="Arial" w:hAnsi="Arial"/>
          <w:sz w:val="16"/>
          <w:szCs w:val="16"/>
          <w:b w:val="1"/>
          <w:bCs w:val="1"/>
          <w:color w:val="auto"/>
        </w:rPr>
        <w:t xml:space="preserve">19.1 </w:t>
      </w:r>
      <w:r>
        <w:rPr>
          <w:rFonts w:ascii="Arial" w:cs="Arial" w:eastAsia="Arial" w:hAnsi="Arial"/>
          <w:sz w:val="16"/>
          <w:szCs w:val="16"/>
          <w:color w:val="auto"/>
        </w:rPr>
        <w:t>Subject to Section 11.4, a Grantee shall have no rights as a shareholder of the Company with respect to any Shares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until the Grantee shall have exercised the Award, paid the Exercise Price therefor and becomes the record holder of the subject Shares. In the case of 102 Awards or 3(9) Awards (if such Awards are being held by a Trustee),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(provided however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cash, securities or other property) or distribution of other rights for which the record date is prior to the date on which the Grantee or Trustee (as applicable) becomes the record holder of the Shares covered by an Award, except as provided in Section 14 hereof.</w:t>
      </w:r>
    </w:p>
    <w:p>
      <w:pPr>
        <w:spacing w:after="0" w:line="161" w:lineRule="exact"/>
        <w:rPr>
          <w:sz w:val="20"/>
          <w:szCs w:val="20"/>
          <w:color w:val="auto"/>
        </w:rPr>
      </w:pPr>
    </w:p>
    <w:p>
      <w:pPr>
        <w:ind w:right="160" w:firstLine="816"/>
        <w:spacing w:after="0" w:line="261"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With respect to all Awards issued in the form of Shares hereunder or upon the exercise or (if applicable) the vesting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any and all voting rights attached to such Shares shall be subject to Section 6.9, and the Grantee shall be entitled to receive dividends distributed with respect to such Shares, subject to the provisions of the Company’s Articles of Association, as amended from time to time, and subject to any Applicable Law.</w:t>
      </w:r>
    </w:p>
    <w:p>
      <w:pPr>
        <w:sectPr>
          <w:pgSz w:w="11900" w:h="16838" w:orient="portrait"/>
          <w:cols w:equalWidth="0" w:num="1">
            <w:col w:w="11200"/>
          </w:cols>
          <w:pgMar w:left="320" w:top="580" w:right="379" w:bottom="1440" w:gutter="0" w:footer="0" w:header="0"/>
        </w:sectPr>
      </w:pP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19.3</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Law.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but shall not be obligated to, register or qualify the sale of Shares under any applicable securities law or any</w:t>
      </w:r>
    </w:p>
    <w:p>
      <w:pPr>
        <w:spacing w:after="0" w:line="430" w:lineRule="exact"/>
        <w:rPr>
          <w:sz w:val="20"/>
          <w:szCs w:val="20"/>
          <w:color w:val="auto"/>
        </w:rPr>
      </w:pPr>
    </w:p>
    <w:p>
      <w:pPr>
        <w:sectPr>
          <w:pgSz w:w="11900" w:h="16838" w:orient="portrait"/>
          <w:cols w:equalWidth="0" w:num="2">
            <w:col w:w="1620" w:space="320"/>
            <w:col w:w="9260"/>
          </w:cols>
          <w:pgMar w:left="320" w:top="580" w:right="379" w:bottom="1440" w:gutter="0" w:footer="0" w:header="0"/>
          <w:type w:val="continuous"/>
        </w:sectPr>
      </w:pPr>
    </w:p>
    <w:p>
      <w:pPr>
        <w:spacing w:after="0" w:line="34"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REPRESENTATION BY COMPANY</w:t>
      </w:r>
      <w:r>
        <w:rPr>
          <w:rFonts w:ascii="Arial" w:cs="Arial" w:eastAsia="Arial" w:hAnsi="Arial"/>
          <w:sz w:val="18"/>
          <w:szCs w:val="18"/>
          <w:color w:val="auto"/>
        </w:rPr>
        <w: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By granting the Awards, the Company is not, and shall not be deemed as, making any representation or warranties to the Grantee regarding the Company, its business affairs, its prospects or the future value of its Shares.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type w:val="continuous"/>
        </w:sectPr>
      </w:pPr>
    </w:p>
    <w:bookmarkStart w:id="257" w:name="page258"/>
    <w:bookmarkEnd w:id="257"/>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RETENTION RIGHTS</w:t>
      </w:r>
      <w:r>
        <w:rPr>
          <w:rFonts w:ascii="Arial" w:cs="Arial" w:eastAsia="Arial" w:hAnsi="Arial"/>
          <w:sz w:val="18"/>
          <w:szCs w:val="18"/>
          <w:color w:val="auto"/>
        </w:rPr>
        <w:t>.</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Nothing in this Plan, any Award Agreement or in any Award granted or agreement entered into pursuant hereto shall confer upon any Grantee the right to continue in the employ of, or be in the service of the Company or any Subsidiary or Affiliate thereof as a Service Provider or to be entitled to any remuneration or benefits not set forth in this Plan or such agreement, or to interfere with or limit in any way the right of the Company or any such Subsidiary or Affiliate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Affiliate that he or she was prevented from continuing to vest Awards as of the date of termination of his or her employment with, or services to, the Company or any Subsidiary or Affiliate. No Grantee shall be entitled to any compensation in respect of the Awards which would have vested had such Grantee’s employment or engagement with the Company (or any Subsidiary or Affiliate) not been terminated.</w:t>
      </w:r>
    </w:p>
    <w:p>
      <w:pPr>
        <w:spacing w:after="0" w:line="185"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u w:val="single" w:color="auto"/>
          <w:color w:val="auto"/>
        </w:rPr>
        <w:t>PERIOD DURING WHICH AWARDS MAY BE GRANTED.</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Awards may be granted pursuant to this Plan from time to time within a period of ten (10) years from the Effective Date, which period may be extended from time to time by the Board. From and after such date (as extended) no grants of Awards may be made and this Plan shall continue to be in full force and effect with respect to Awards or Shares issued thereunder that remain outstanding.</w:t>
      </w:r>
    </w:p>
    <w:p>
      <w:pPr>
        <w:spacing w:after="0" w:line="184"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OF THIS PLAN</w:t>
      </w:r>
      <w:r>
        <w:rPr>
          <w:rFonts w:ascii="Arial" w:cs="Arial" w:eastAsia="Arial" w:hAnsi="Arial"/>
          <w:sz w:val="18"/>
          <w:szCs w:val="18"/>
          <w:color w:val="auto"/>
        </w:rPr>
        <w:t>.</w:t>
      </w:r>
    </w:p>
    <w:p>
      <w:pPr>
        <w:spacing w:after="0" w:line="221" w:lineRule="exact"/>
        <w:rPr>
          <w:sz w:val="20"/>
          <w:szCs w:val="20"/>
          <w:color w:val="auto"/>
        </w:rPr>
      </w:pPr>
    </w:p>
    <w:p>
      <w:pPr>
        <w:ind w:firstLine="816"/>
        <w:spacing w:after="0" w:line="261"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The Board at any time and from time to time may suspend, terminate, modify or amend this Plan, whether retroactively or</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180" w:lineRule="exact"/>
        <w:rPr>
          <w:sz w:val="20"/>
          <w:szCs w:val="20"/>
          <w:color w:val="auto"/>
        </w:rPr>
      </w:pPr>
    </w:p>
    <w:p>
      <w:pPr>
        <w:ind w:right="80" w:firstLine="816"/>
        <w:spacing w:after="0" w:line="291" w:lineRule="auto"/>
        <w:rPr>
          <w:sz w:val="20"/>
          <w:szCs w:val="20"/>
          <w:color w:val="auto"/>
        </w:rPr>
      </w:pPr>
      <w:r>
        <w:rPr>
          <w:rFonts w:ascii="Arial" w:cs="Arial" w:eastAsia="Arial" w:hAnsi="Arial"/>
          <w:sz w:val="16"/>
          <w:szCs w:val="16"/>
          <w:b w:val="1"/>
          <w:bCs w:val="1"/>
          <w:color w:val="auto"/>
        </w:rPr>
        <w:t xml:space="preserve">23.2 </w:t>
      </w:r>
      <w:r>
        <w:rPr>
          <w:rFonts w:ascii="Arial" w:cs="Arial" w:eastAsia="Arial" w:hAnsi="Arial"/>
          <w:sz w:val="16"/>
          <w:szCs w:val="16"/>
          <w:color w:val="auto"/>
        </w:rPr>
        <w:t>Subject to changes in Applicable Law that would permit otherwise, without the approval of the Company’s shareholders, there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 no increase in the maximum aggregate number of Shares that may be issued under this Plan as Incentive Stock Options (except by operation of the provisions of Section 14.1), (ii) no change in the class of persons eligible to receive Incentive Stock Options, and (iii) no other amendment of this Plan that would require approval of the Company’s shareholders under any Applicable Law.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which is not an Incentive Stock Option. Upon approval of an amendment to this Plan by the shareholders of the Company as set forth above, all Incentive Stock Options granted under this Plan on or after such amendment shall be fully effective as if the shareholders of the Company had approved the amendment on the same date.</w:t>
      </w:r>
    </w:p>
    <w:p>
      <w:pPr>
        <w:spacing w:after="0" w:line="163"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u w:val="single" w:color="auto"/>
          <w:color w:val="auto"/>
        </w:rPr>
        <w:t>APPROVAL</w:t>
      </w:r>
      <w:r>
        <w:rPr>
          <w:rFonts w:ascii="Arial" w:cs="Arial" w:eastAsia="Arial" w:hAnsi="Arial"/>
          <w:sz w:val="18"/>
          <w:szCs w:val="18"/>
          <w:color w:val="auto"/>
        </w:rPr>
        <w: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8" w:name="page259"/>
    <w:bookmarkEnd w:id="258"/>
    <w:tbl>
      <w:tblPr>
        <w:tblLayout w:type="fixed"/>
        <w:tblInd w:w="820" w:type="dxa"/>
        <w:tblCellMar>
          <w:top w:w="0" w:type="dxa"/>
          <w:left w:w="0" w:type="dxa"/>
          <w:bottom w:w="0" w:type="dxa"/>
          <w:right w:w="0" w:type="dxa"/>
        </w:tblCellMar>
      </w:tblPr>
      <w:tr>
        <w:trPr>
          <w:trHeight w:val="234"/>
        </w:trPr>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w w:val="85"/>
              </w:rPr>
              <w:t>24.1</w:t>
            </w:r>
          </w:p>
        </w:tc>
        <w:tc>
          <w:tcPr>
            <w:tcW w:w="9360" w:type="dxa"/>
            <w:vAlign w:val="bottom"/>
          </w:tcPr>
          <w:p>
            <w:pPr>
              <w:ind w:left="400"/>
              <w:spacing w:after="0"/>
              <w:rPr>
                <w:sz w:val="20"/>
                <w:szCs w:val="20"/>
                <w:color w:val="auto"/>
              </w:rPr>
            </w:pPr>
            <w:r>
              <w:rPr>
                <w:rFonts w:ascii="Arial" w:cs="Arial" w:eastAsia="Arial" w:hAnsi="Arial"/>
                <w:sz w:val="18"/>
                <w:szCs w:val="18"/>
                <w:color w:val="auto"/>
              </w:rPr>
              <w:t>This Plan shall take effect upon its adoption by the Board (the “Effective Date”).</w:t>
            </w:r>
          </w:p>
        </w:tc>
      </w:tr>
      <w:tr>
        <w:trPr>
          <w:trHeight w:val="432"/>
        </w:trPr>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w w:val="85"/>
              </w:rPr>
              <w:t>24.2</w:t>
            </w:r>
          </w:p>
        </w:tc>
        <w:tc>
          <w:tcPr>
            <w:tcW w:w="9360" w:type="dxa"/>
            <w:vAlign w:val="bottom"/>
          </w:tcPr>
          <w:p>
            <w:pPr>
              <w:ind w:left="400"/>
              <w:spacing w:after="0"/>
              <w:rPr>
                <w:sz w:val="20"/>
                <w:szCs w:val="20"/>
                <w:color w:val="auto"/>
              </w:rPr>
            </w:pPr>
            <w:r>
              <w:rPr>
                <w:rFonts w:ascii="Arial" w:cs="Arial" w:eastAsia="Arial" w:hAnsi="Arial"/>
                <w:sz w:val="18"/>
                <w:szCs w:val="18"/>
                <w:color w:val="auto"/>
                <w:w w:val="90"/>
              </w:rPr>
              <w:t>Solely with respect to grants of Incentive Stock Options, this Plan shall also be subject to shareholders’ approval, within one</w:t>
            </w:r>
          </w:p>
        </w:tc>
      </w:tr>
    </w:tbl>
    <w:p>
      <w:pPr>
        <w:ind w:right="20"/>
        <w:spacing w:after="0" w:line="271" w:lineRule="auto"/>
        <w:rPr>
          <w:sz w:val="20"/>
          <w:szCs w:val="20"/>
          <w:color w:val="auto"/>
        </w:rPr>
      </w:pPr>
      <w:r>
        <w:rPr>
          <w:rFonts w:ascii="Arial" w:cs="Arial" w:eastAsia="Arial" w:hAnsi="Arial"/>
          <w:sz w:val="17"/>
          <w:szCs w:val="17"/>
          <w:color w:val="auto"/>
        </w:rPr>
        <w:t>year of the Effective Date, by the required majority (however,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which is not an Incentive Stock Option. Upon approval of this Plan by the shareholders of the Company as set forth above, all Incentive Stock Options granted under this Plan on or after the Effective Date shall be fully effective as if the shareholders of the Company had approved this Plan on the Effective Date.</w:t>
      </w:r>
    </w:p>
    <w:p>
      <w:pPr>
        <w:spacing w:after="0" w:line="174" w:lineRule="exact"/>
        <w:rPr>
          <w:sz w:val="20"/>
          <w:szCs w:val="20"/>
          <w:color w:val="auto"/>
        </w:rPr>
      </w:pPr>
    </w:p>
    <w:p>
      <w:pPr>
        <w:ind w:right="280" w:firstLine="816"/>
        <w:spacing w:after="0" w:line="312"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color w:val="auto"/>
        </w:rPr>
        <w:t>102 Awards are conditional upon the filing with or approval by the ITA, if required, as set forth in Section 9.49. Failure to so</w:t>
      </w:r>
      <w:r>
        <w:rPr>
          <w:rFonts w:ascii="Arial" w:cs="Arial" w:eastAsia="Arial" w:hAnsi="Arial"/>
          <w:sz w:val="17"/>
          <w:szCs w:val="17"/>
          <w:b w:val="1"/>
          <w:bCs w:val="1"/>
          <w:color w:val="auto"/>
        </w:rPr>
        <w:t xml:space="preserve"> </w:t>
      </w:r>
      <w:r>
        <w:rPr>
          <w:rFonts w:ascii="Arial" w:cs="Arial" w:eastAsia="Arial" w:hAnsi="Arial"/>
          <w:sz w:val="17"/>
          <w:szCs w:val="17"/>
          <w:color w:val="auto"/>
        </w:rPr>
        <w:t>file or obtain such approval shall not in any way derogate from the valid and binding effect of any grant of an Award, which is not an 102 Award.</w:t>
      </w:r>
    </w:p>
    <w:p>
      <w:pPr>
        <w:spacing w:after="0" w:line="144"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u w:val="single" w:color="auto"/>
          <w:color w:val="auto"/>
        </w:rPr>
        <w:t>RULES PARTICULAR TO SPECIFIC COUNTRIES; SECTION 409A.</w:t>
      </w:r>
    </w:p>
    <w:p>
      <w:pPr>
        <w:spacing w:after="0" w:line="221" w:lineRule="exact"/>
        <w:rPr>
          <w:sz w:val="20"/>
          <w:szCs w:val="20"/>
          <w:color w:val="auto"/>
        </w:rPr>
      </w:pPr>
    </w:p>
    <w:p>
      <w:pPr>
        <w:ind w:right="20" w:firstLine="816"/>
        <w:spacing w:after="0" w:line="292" w:lineRule="auto"/>
        <w:rPr>
          <w:sz w:val="20"/>
          <w:szCs w:val="20"/>
          <w:color w:val="auto"/>
        </w:rPr>
      </w:pPr>
      <w:r>
        <w:rPr>
          <w:rFonts w:ascii="Arial" w:cs="Arial" w:eastAsia="Arial" w:hAnsi="Arial"/>
          <w:sz w:val="16"/>
          <w:szCs w:val="16"/>
          <w:b w:val="1"/>
          <w:bCs w:val="1"/>
          <w:color w:val="auto"/>
        </w:rPr>
        <w:t xml:space="preserve">25.1 </w:t>
      </w:r>
      <w:r>
        <w:rPr>
          <w:rFonts w:ascii="Arial" w:cs="Arial" w:eastAsia="Arial" w:hAnsi="Arial"/>
          <w:sz w:val="16"/>
          <w:szCs w:val="16"/>
          <w:color w:val="auto"/>
        </w:rPr>
        <w:t>Notwithstanding anything herein to the contrary, the terms and conditions of this Plan may be supplemented or amended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 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pacing w:after="0" w:line="161" w:lineRule="exact"/>
        <w:rPr>
          <w:sz w:val="20"/>
          <w:szCs w:val="20"/>
          <w:color w:val="auto"/>
        </w:rPr>
      </w:pPr>
    </w:p>
    <w:p>
      <w:pPr>
        <w:ind w:firstLine="816"/>
        <w:spacing w:after="0" w:line="273"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The Company intends that this Plan comply with Section 409A of the Code, including any amendments or replacements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this Plan shall be so construed. To the extent applicable, this Plan and any agreement hereunder shall be interpreted in accordance with Section 409A of the Code. Notwithstanding any provision of this Plan to the contrary, in the event that, following the Effective Date, the Board determines that any Award may be subject to Section 409A of the Code, the Board may adopt such amendments to this Plan and such agreement or adopt other policies and procedures (including amendments, policies and procedures with retroactive effect), or take any other actions, that the Board determines are necessary or appropriate to (a) exempt the Award from Section 409A of the Code and/or preserve the intended tax treatment of the benefits provided with respect to the Award or (b) comply with the requirements of Section 409A of the Code.</w:t>
      </w:r>
    </w:p>
    <w:p>
      <w:pPr>
        <w:spacing w:after="0" w:line="176"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9" w:name="page260"/>
    <w:bookmarkEnd w:id="259"/>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u w:val="single" w:color="auto"/>
          <w:color w:val="auto"/>
        </w:rPr>
        <w:t>NON-EXCLUSIVITY OF THIS PLAN</w:t>
      </w:r>
      <w:r>
        <w:rPr>
          <w:rFonts w:ascii="Arial" w:cs="Arial" w:eastAsia="Arial" w:hAnsi="Arial"/>
          <w:sz w:val="18"/>
          <w:szCs w:val="18"/>
          <w:color w:val="auto"/>
        </w:rPr>
        <w:t>.</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lawfully put into effect, including any retirement, pension, savings and stock purchase plan, insurance, death and disability benefits and executive short-term or long-term incentive plans.</w:t>
      </w:r>
    </w:p>
    <w:p>
      <w:pPr>
        <w:spacing w:after="0" w:line="176"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1" w:lineRule="exact"/>
        <w:rPr>
          <w:sz w:val="20"/>
          <w:szCs w:val="20"/>
          <w:color w:val="auto"/>
        </w:rPr>
      </w:pPr>
    </w:p>
    <w:p>
      <w:pPr>
        <w:ind w:right="380" w:firstLine="816"/>
        <w:spacing w:after="0" w:line="289"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u w:val="single" w:color="auto"/>
          <w:color w:val="auto"/>
        </w:rPr>
        <w:t>Survival</w:t>
      </w:r>
      <w:r>
        <w:rPr>
          <w:rFonts w:ascii="Arial" w:cs="Arial" w:eastAsia="Arial" w:hAnsi="Arial"/>
          <w:sz w:val="17"/>
          <w:szCs w:val="17"/>
          <w:color w:val="auto"/>
        </w:rPr>
        <w:t>. The Grantee shall be bound by and the Shares issued upon exercise or (if applicable) the vesting of any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jc w:val="right"/>
              <w:ind w:right="730"/>
              <w:spacing w:after="0"/>
              <w:rPr>
                <w:sz w:val="20"/>
                <w:szCs w:val="20"/>
                <w:color w:val="auto"/>
              </w:rPr>
            </w:pPr>
            <w:r>
              <w:rPr>
                <w:rFonts w:ascii="Arial" w:cs="Arial" w:eastAsia="Arial" w:hAnsi="Arial"/>
                <w:sz w:val="18"/>
                <w:szCs w:val="18"/>
                <w:b w:val="1"/>
                <w:bCs w:val="1"/>
                <w:color w:val="auto"/>
              </w:rPr>
              <w:t>28.2</w:t>
            </w:r>
          </w:p>
        </w:tc>
        <w:tc>
          <w:tcPr>
            <w:tcW w:w="9100" w:type="dxa"/>
            <w:vAlign w:val="bottom"/>
            <w:gridSpan w:val="2"/>
          </w:tcPr>
          <w:p>
            <w:pPr>
              <w:spacing w:after="0"/>
              <w:rPr>
                <w:sz w:val="20"/>
                <w:szCs w:val="20"/>
                <w:color w:val="auto"/>
              </w:rPr>
            </w:pPr>
            <w:r>
              <w:rPr>
                <w:rFonts w:ascii="Arial" w:cs="Arial" w:eastAsia="Arial" w:hAnsi="Arial"/>
                <w:sz w:val="18"/>
                <w:szCs w:val="18"/>
                <w:color w:val="auto"/>
                <w:w w:val="90"/>
              </w:rPr>
              <w:t>Additional Terms. Each Award awarded under this Plan may contain such other terms and conditions not inconsistent with this</w:t>
            </w:r>
          </w:p>
        </w:tc>
      </w:tr>
      <w:tr>
        <w:trPr>
          <w:trHeight w:val="20"/>
        </w:trPr>
        <w:tc>
          <w:tcPr>
            <w:tcW w:w="1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60" w:type="dxa"/>
            <w:vAlign w:val="bottom"/>
            <w:tcBorders>
              <w:left w:val="single" w:sz="8" w:color="auto"/>
            </w:tcBorders>
          </w:tcPr>
          <w:p>
            <w:pPr>
              <w:spacing w:after="0" w:line="20" w:lineRule="exact"/>
              <w:rPr>
                <w:sz w:val="1"/>
                <w:szCs w:val="1"/>
                <w:color w:val="auto"/>
              </w:rPr>
            </w:pPr>
          </w:p>
        </w:tc>
      </w:tr>
      <w:tr>
        <w:trPr>
          <w:trHeight w:val="237"/>
        </w:trPr>
        <w:tc>
          <w:tcPr>
            <w:tcW w:w="11060" w:type="dxa"/>
            <w:vAlign w:val="bottom"/>
            <w:gridSpan w:val="3"/>
          </w:tcPr>
          <w:p>
            <w:pPr>
              <w:spacing w:after="0"/>
              <w:rPr>
                <w:sz w:val="20"/>
                <w:szCs w:val="20"/>
                <w:color w:val="auto"/>
              </w:rPr>
            </w:pPr>
            <w:r>
              <w:rPr>
                <w:rFonts w:ascii="Arial" w:cs="Arial" w:eastAsia="Arial" w:hAnsi="Arial"/>
                <w:sz w:val="18"/>
                <w:szCs w:val="18"/>
                <w:color w:val="auto"/>
              </w:rPr>
              <w:t>Plan as may be determined by the Committee, in its sole discretion.</w:t>
            </w:r>
          </w:p>
        </w:tc>
      </w:tr>
      <w:tr>
        <w:trPr>
          <w:trHeight w:val="392"/>
        </w:trPr>
        <w:tc>
          <w:tcPr>
            <w:tcW w:w="1960" w:type="dxa"/>
            <w:vAlign w:val="bottom"/>
          </w:tcPr>
          <w:p>
            <w:pPr>
              <w:jc w:val="right"/>
              <w:ind w:right="730"/>
              <w:spacing w:after="0"/>
              <w:rPr>
                <w:sz w:val="20"/>
                <w:szCs w:val="20"/>
                <w:color w:val="auto"/>
              </w:rPr>
            </w:pPr>
            <w:r>
              <w:rPr>
                <w:rFonts w:ascii="Arial" w:cs="Arial" w:eastAsia="Arial" w:hAnsi="Arial"/>
                <w:sz w:val="18"/>
                <w:szCs w:val="18"/>
                <w:b w:val="1"/>
                <w:bCs w:val="1"/>
                <w:color w:val="auto"/>
              </w:rPr>
              <w:t>28.3</w:t>
            </w:r>
          </w:p>
        </w:tc>
        <w:tc>
          <w:tcPr>
            <w:tcW w:w="9100" w:type="dxa"/>
            <w:vAlign w:val="bottom"/>
            <w:gridSpan w:val="2"/>
          </w:tcPr>
          <w:p>
            <w:pPr>
              <w:spacing w:after="0"/>
              <w:rPr>
                <w:sz w:val="20"/>
                <w:szCs w:val="20"/>
                <w:color w:val="auto"/>
              </w:rPr>
            </w:pPr>
            <w:r>
              <w:rPr>
                <w:rFonts w:ascii="Arial" w:cs="Arial" w:eastAsia="Arial" w:hAnsi="Arial"/>
                <w:sz w:val="18"/>
                <w:szCs w:val="18"/>
                <w:color w:val="auto"/>
                <w:w w:val="89"/>
              </w:rPr>
              <w:t>Fractional Shares. No fractional Share shall be issuable upon exercise or vesting of any Award and the number of Shares to be</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issued shall be rounded down to the nearest whole Share, with in any Share remaining at the last vesting date due to such rounding to be issued upon exercise at such last vesting date.</w:t>
      </w:r>
    </w:p>
    <w:p>
      <w:pPr>
        <w:spacing w:after="0" w:line="166" w:lineRule="exact"/>
        <w:rPr>
          <w:sz w:val="20"/>
          <w:szCs w:val="20"/>
          <w:color w:val="auto"/>
        </w:rPr>
      </w:pPr>
    </w:p>
    <w:p>
      <w:pPr>
        <w:ind w:right="80" w:firstLine="816"/>
        <w:spacing w:after="0" w:line="274" w:lineRule="auto"/>
        <w:rPr>
          <w:sz w:val="20"/>
          <w:szCs w:val="20"/>
          <w:color w:val="auto"/>
        </w:rPr>
      </w:pPr>
      <w:r>
        <w:rPr>
          <w:rFonts w:ascii="Arial" w:cs="Arial" w:eastAsia="Arial" w:hAnsi="Arial"/>
          <w:sz w:val="17"/>
          <w:szCs w:val="17"/>
          <w:b w:val="1"/>
          <w:bCs w:val="1"/>
          <w:color w:val="auto"/>
        </w:rPr>
        <w:t xml:space="preserve">28.4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Plan, any Award Agreement or any other agreement entered into in connection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173" w:lineRule="exact"/>
        <w:rPr>
          <w:sz w:val="20"/>
          <w:szCs w:val="20"/>
          <w:color w:val="auto"/>
        </w:rPr>
      </w:pPr>
    </w:p>
    <w:p>
      <w:pPr>
        <w:jc w:val="both"/>
        <w:ind w:right="200" w:firstLine="816"/>
        <w:spacing w:after="0" w:line="266" w:lineRule="auto"/>
        <w:rPr>
          <w:sz w:val="20"/>
          <w:szCs w:val="20"/>
          <w:color w:val="auto"/>
        </w:rPr>
      </w:pPr>
      <w:r>
        <w:rPr>
          <w:rFonts w:ascii="Arial" w:cs="Arial" w:eastAsia="Arial" w:hAnsi="Arial"/>
          <w:sz w:val="18"/>
          <w:szCs w:val="18"/>
          <w:b w:val="1"/>
          <w:bCs w:val="1"/>
          <w:color w:val="auto"/>
        </w:rPr>
        <w:t xml:space="preserve">28.5 </w:t>
      </w:r>
      <w:r>
        <w:rPr>
          <w:rFonts w:ascii="Arial" w:cs="Arial" w:eastAsia="Arial" w:hAnsi="Arial"/>
          <w:sz w:val="18"/>
          <w:szCs w:val="18"/>
          <w:u w:val="single" w:color="auto"/>
          <w:color w:val="auto"/>
        </w:rPr>
        <w:t>Captions and Titles</w:t>
      </w:r>
      <w:r>
        <w:rPr>
          <w:rFonts w:ascii="Arial" w:cs="Arial" w:eastAsia="Arial" w:hAnsi="Arial"/>
          <w:sz w:val="18"/>
          <w:szCs w:val="18"/>
          <w:color w:val="auto"/>
        </w:rPr>
        <w:t>. The use of captions and titles in this Plan or any Award Agreement or any other agreement entered into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 Award is for the convenience of reference only and shall not affect the meaning or interpretation of any provision of this Plan or such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300" w:type="dxa"/>
            <w:vAlign w:val="bottom"/>
          </w:tcPr>
          <w:p>
            <w:pPr>
              <w:jc w:val="right"/>
              <w:ind w:right="4970"/>
              <w:spacing w:after="0"/>
              <w:rPr>
                <w:sz w:val="20"/>
                <w:szCs w:val="20"/>
                <w:color w:val="auto"/>
              </w:rPr>
            </w:pPr>
            <w:r>
              <w:rPr>
                <w:rFonts w:ascii="Arial" w:cs="Arial" w:eastAsia="Arial" w:hAnsi="Arial"/>
                <w:sz w:val="18"/>
                <w:szCs w:val="18"/>
                <w:color w:val="auto"/>
              </w:rPr>
              <w:t>*</w:t>
            </w:r>
          </w:p>
        </w:tc>
      </w:tr>
      <w:tr>
        <w:trPr>
          <w:trHeight w:val="648"/>
        </w:trPr>
        <w:tc>
          <w:tcPr>
            <w:tcW w:w="526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- 33 -</w:t>
            </w:r>
          </w:p>
        </w:tc>
        <w:tc>
          <w:tcPr>
            <w:tcW w:w="5300" w:type="dxa"/>
            <w:vAlign w:val="bottom"/>
          </w:tcPr>
          <w:p>
            <w:pPr>
              <w:spacing w:after="0"/>
              <w:rPr>
                <w:sz w:val="24"/>
                <w:szCs w:val="24"/>
                <w:color w:val="auto"/>
              </w:rPr>
            </w:pPr>
          </w:p>
        </w:tc>
      </w:tr>
      <w:tr>
        <w:trPr>
          <w:trHeight w:val="54"/>
        </w:trPr>
        <w:tc>
          <w:tcPr>
            <w:tcW w:w="5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300" w:type="dxa"/>
            <w:vAlign w:val="bottom"/>
          </w:tcPr>
          <w:p>
            <w:pPr>
              <w:spacing w:after="0"/>
              <w:rPr>
                <w:sz w:val="4"/>
                <w:szCs w:val="4"/>
                <w:color w:val="auto"/>
              </w:rPr>
            </w:pPr>
          </w:p>
        </w:tc>
      </w:tr>
      <w:tr>
        <w:trPr>
          <w:trHeight w:val="68"/>
        </w:trPr>
        <w:tc>
          <w:tcPr>
            <w:tcW w:w="52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5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4" w:right="339" w:bottom="1440" w:gutter="0" w:footer="0" w:header="0"/>
        </w:sectPr>
      </w:pPr>
    </w:p>
    <w:bookmarkStart w:id="260" w:name="page261"/>
    <w:bookmarkEnd w:id="260"/>
    <w:p>
      <w:pPr>
        <w:ind w:left="1032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BY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von Jako, certify that:</w:t>
      </w:r>
    </w:p>
    <w:p>
      <w:pPr>
        <w:spacing w:after="0" w:line="225"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Brainsway Ltd.;</w:t>
      </w:r>
    </w:p>
    <w:p>
      <w:pPr>
        <w:spacing w:after="0" w:line="225" w:lineRule="exact"/>
        <w:rPr>
          <w:rFonts w:ascii="Arial" w:cs="Arial" w:eastAsia="Arial" w:hAnsi="Arial"/>
          <w:sz w:val="18"/>
          <w:szCs w:val="18"/>
          <w:color w:val="auto"/>
        </w:rPr>
      </w:pPr>
    </w:p>
    <w:p>
      <w:pPr>
        <w:ind w:firstLine="8"/>
        <w:spacing w:after="0" w:line="342" w:lineRule="auto"/>
        <w:tabs>
          <w:tab w:leader="none" w:pos="51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58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sz w:val="20"/>
          <w:szCs w:val="20"/>
          <w:color w:val="auto"/>
        </w:rPr>
      </w:pPr>
    </w:p>
    <w:p>
      <w:pPr>
        <w:jc w:val="both"/>
        <w:ind w:firstLine="8"/>
        <w:spacing w:after="0" w:line="263" w:lineRule="auto"/>
        <w:tabs>
          <w:tab w:leader="none" w:pos="46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20" w:firstLine="8"/>
        <w:spacing w:after="0" w:line="277" w:lineRule="auto"/>
        <w:tabs>
          <w:tab w:leader="none" w:pos="4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49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20" w:firstLine="8"/>
        <w:spacing w:after="0" w:line="308" w:lineRule="auto"/>
        <w:tabs>
          <w:tab w:leader="none" w:pos="49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44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47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Christopher von Jako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Christopher von Jako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61" w:name="page262"/>
    <w:bookmarkEnd w:id="261"/>
    <w:p>
      <w:pPr>
        <w:ind w:left="10320"/>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BY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Hadar Levy,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annual report on Form 20-F of Brainsway Ltd.;</w:t>
      </w:r>
    </w:p>
    <w:p>
      <w:pPr>
        <w:spacing w:after="0" w:line="225" w:lineRule="exact"/>
        <w:rPr>
          <w:sz w:val="20"/>
          <w:szCs w:val="20"/>
          <w:color w:val="auto"/>
        </w:rPr>
      </w:pPr>
    </w:p>
    <w:p>
      <w:pPr>
        <w:ind w:firstLine="8"/>
        <w:spacing w:after="0" w:line="342" w:lineRule="auto"/>
        <w:tabs>
          <w:tab w:leader="none" w:pos="51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58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sz w:val="20"/>
          <w:szCs w:val="20"/>
          <w:color w:val="auto"/>
        </w:rPr>
      </w:pPr>
    </w:p>
    <w:p>
      <w:pPr>
        <w:jc w:val="both"/>
        <w:ind w:firstLine="8"/>
        <w:spacing w:after="0" w:line="263" w:lineRule="auto"/>
        <w:tabs>
          <w:tab w:leader="none" w:pos="46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20" w:firstLine="8"/>
        <w:spacing w:after="0" w:line="277" w:lineRule="auto"/>
        <w:tabs>
          <w:tab w:leader="none" w:pos="49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49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20" w:firstLine="8"/>
        <w:spacing w:after="0" w:line="308" w:lineRule="auto"/>
        <w:tabs>
          <w:tab w:leader="none" w:pos="49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44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47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Hadar Levy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121"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13</w:t>
      </w:r>
    </w:p>
    <w:p>
      <w:pPr>
        <w:spacing w:after="0" w:line="200" w:lineRule="exact"/>
        <w:rPr>
          <w:sz w:val="20"/>
          <w:szCs w:val="20"/>
          <w:color w:val="auto"/>
        </w:rPr>
      </w:pPr>
    </w:p>
    <w:p>
      <w:pPr>
        <w:spacing w:after="0" w:line="24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BY CHIEF EXECUTIVE OFFICER AND CHIEF FINANCIAL OFFICER PURSUAN TO SECTION 906 OF THE SARBANES-OXLEY ACT OF 2002</w:t>
      </w:r>
    </w:p>
    <w:p>
      <w:pPr>
        <w:spacing w:after="0" w:line="38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Annual Report of Brainsway Ltd. (the “Company”) on Form 20-F for the period ended December 31, 2020 as filed with the Securities and Exchange Commission on the date hereof (the “Report”), each of the undersigned officers of the Company certifies, pursuant to 18 U.S.C. §1350, as adopted pursuant to §906 of the Sarbanes-Oxley Act of 2002, that to such officer's knowledge:</w:t>
      </w:r>
    </w:p>
    <w:p>
      <w:pPr>
        <w:spacing w:after="0" w:line="184"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Christopher von Jako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Christopher von Jako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Hadar Levy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121"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9"/>
          <w:szCs w:val="19"/>
          <w:b w:val="1"/>
          <w:bCs w:val="1"/>
          <w:color w:val="auto"/>
        </w:rPr>
        <w:t>Exhibit 15.1</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808080"/>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9601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1028700" cy="960120"/>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6"/>
          <w:szCs w:val="16"/>
          <w:color w:val="808080"/>
        </w:rPr>
        <w:t>144 Menachem Begin Road, Building A</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808080"/>
        </w:rPr>
        <w:t>Tel-Aviv 6492102, Israel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808080"/>
        </w:rPr>
        <w:t>Tel: +972-3-6232525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808080"/>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808080"/>
        </w:rPr>
        <w:t>ey.com</w:t>
      </w:r>
    </w:p>
    <w:p>
      <w:pPr>
        <w:spacing w:after="0" w:line="200" w:lineRule="exact"/>
        <w:rPr>
          <w:sz w:val="20"/>
          <w:szCs w:val="20"/>
          <w:color w:val="auto"/>
        </w:rPr>
      </w:pPr>
    </w:p>
    <w:p>
      <w:pPr>
        <w:sectPr>
          <w:pgSz w:w="11900" w:h="16838" w:orient="portrait"/>
          <w:cols w:equalWidth="0" w:num="2">
            <w:col w:w="7260" w:space="720"/>
            <w:col w:w="326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333-230979) of Brainsway Ltd. of our report dated April 19, 2021 with respect to the consolidated financial statements of Brainsway Ltd., included in this Annual Report (Form 20-F) of Brainsway Ltd.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19, 2021</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lvl w:ilvl="1">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1)"/>
      <w:numFmt w:val="lowerRoman"/>
      <w:start w:val="2"/>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1."/>
      <w:numFmt w:val="upperLetter"/>
      <w:start w:val="1"/>
    </w:lvl>
  </w:abstractNum>
  <w:abstractNum w:abstractNumId="6">
    <w:nsid w:val="5551B9F3"/>
    <w:multiLevelType w:val="hybridMultilevel"/>
    <w:lvl w:ilvl="0">
      <w:lvlJc w:val="left"/>
      <w:lvlText w:val="(%1)"/>
      <w:numFmt w:val="decimal"/>
      <w:start w:val="1"/>
    </w:lvl>
  </w:abstractNum>
  <w:abstractNum w:abstractNumId="7">
    <w:nsid w:val="24F6AB8E"/>
    <w:multiLevelType w:val="hybridMultilevel"/>
    <w:lvl w:ilvl="0">
      <w:lvlJc w:val="left"/>
      <w:lvlText w:val="%1."/>
      <w:numFmt w:val="upperLetter"/>
      <w:start w:val="2"/>
    </w:lvl>
  </w:abstractNum>
  <w:abstractNum w:abstractNumId="8">
    <w:nsid w:val="634C574C"/>
    <w:multiLevelType w:val="hybridMultilevel"/>
    <w:lvl w:ilvl="0">
      <w:lvlJc w:val="left"/>
      <w:lvlText w:val="%1."/>
      <w:numFmt w:val="upperLetter"/>
      <w:start w:val="4"/>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1)"/>
      <w:numFmt w:val="decimal"/>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1)"/>
      <w:numFmt w:val="lowerRoman"/>
      <w:start w:val="3"/>
    </w:lvl>
  </w:abstractNum>
  <w:abstractNum w:abstractNumId="30">
    <w:nsid w:val="65968C1C"/>
    <w:multiLevelType w:val="hybridMultilevel"/>
    <w:lvl w:ilvl="0">
      <w:lvlJc w:val="left"/>
      <w:lvlText w:val="(%1)"/>
      <w:numFmt w:val="lowerRoman"/>
      <w:start w:val="2"/>
    </w:lvl>
  </w:abstractNum>
  <w:abstractNum w:abstractNumId="31">
    <w:nsid w:val="46263DEC"/>
    <w:multiLevelType w:val="hybridMultilevel"/>
    <w:lvl w:ilvl="0">
      <w:lvlJc w:val="left"/>
      <w:lvlText w:val="%1."/>
      <w:numFmt w:val="upperLetter"/>
      <w:start w:val="1"/>
    </w:lvl>
  </w:abstractNum>
  <w:abstractNum w:abstractNumId="32">
    <w:nsid w:val="260D8C4A"/>
    <w:multiLevelType w:val="hybridMultilevel"/>
    <w:lvl w:ilvl="0">
      <w:lvlJc w:val="left"/>
      <w:lvlText w:val="%1."/>
      <w:numFmt w:val="upperLetter"/>
      <w:start w:val="2"/>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1."/>
      <w:numFmt w:val="upperLetter"/>
      <w:start w:val="3"/>
    </w:lvl>
  </w:abstractNum>
  <w:abstractNum w:abstractNumId="46">
    <w:nsid w:val="17180B0B"/>
    <w:multiLevelType w:val="hybridMultilevel"/>
    <w:lvl w:ilvl="0">
      <w:lvlJc w:val="left"/>
      <w:lvlText w:val="%1."/>
      <w:numFmt w:val="upperLetter"/>
      <w:start w:val="4"/>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1."/>
      <w:numFmt w:val="upperLetter"/>
      <w:start w:val="1"/>
    </w:lvl>
  </w:abstractNum>
  <w:abstractNum w:abstractNumId="49">
    <w:nsid w:val="11CCA8BA"/>
    <w:multiLevelType w:val="hybridMultilevel"/>
    <w:lvl w:ilvl="0">
      <w:lvlJc w:val="left"/>
      <w:lvlText w:val="%1."/>
      <w:numFmt w:val="upperLetter"/>
      <w:start w:val="2"/>
    </w:lvl>
  </w:abstractNum>
  <w:abstractNum w:abstractNumId="50">
    <w:nsid w:val="4D32AB86"/>
    <w:multiLevelType w:val="hybridMultilevel"/>
    <w:lvl w:ilvl="0">
      <w:lvlJc w:val="left"/>
      <w:lvlText w:val="%1."/>
      <w:numFmt w:val="upperLetter"/>
      <w:start w:val="3"/>
    </w:lvl>
  </w:abstractNum>
  <w:abstractNum w:abstractNumId="51">
    <w:nsid w:val="3F07ACC3"/>
    <w:multiLevelType w:val="hybridMultilevel"/>
    <w:lvl w:ilvl="0">
      <w:lvlJc w:val="left"/>
      <w:lvlText w:val="(%1)"/>
      <w:numFmt w:val="lowerRoman"/>
      <w:start w:val="3"/>
    </w:lvl>
  </w:abstractNum>
  <w:abstractNum w:abstractNumId="52">
    <w:nsid w:val="6B47F63E"/>
    <w:multiLevelType w:val="hybridMultilevel"/>
    <w:lvl w:ilvl="0">
      <w:lvlJc w:val="left"/>
      <w:lvlText w:val="%1."/>
      <w:numFmt w:val="upperLetter"/>
      <w:start w:val="4"/>
    </w:lvl>
  </w:abstractNum>
  <w:abstractNum w:abstractNumId="53">
    <w:nsid w:val="5CB44A05"/>
    <w:multiLevelType w:val="hybridMultilevel"/>
    <w:lvl w:ilvl="0">
      <w:lvlJc w:val="left"/>
      <w:lvlText w:val="%1."/>
      <w:numFmt w:val="upperLetter"/>
      <w:start w:val="5"/>
    </w:lvl>
  </w:abstractNum>
  <w:abstractNum w:abstractNumId="54">
    <w:nsid w:val="16CF80F1"/>
    <w:multiLevelType w:val="hybridMultilevel"/>
    <w:lvl w:ilvl="0">
      <w:lvlJc w:val="left"/>
      <w:lvlText w:val="%1."/>
      <w:numFmt w:val="upperLetter"/>
      <w:start w:val="6"/>
    </w:lvl>
  </w:abstractNum>
  <w:abstractNum w:abstractNumId="55">
    <w:nsid w:val="1C695DEC"/>
    <w:multiLevelType w:val="hybridMultilevel"/>
    <w:lvl w:ilvl="0">
      <w:lvlJc w:val="left"/>
      <w:lvlText w:val="(%1)"/>
      <w:numFmt w:val="decimal"/>
      <w:start w:val="1"/>
    </w:lvl>
  </w:abstractNum>
  <w:abstractNum w:abstractNumId="56">
    <w:nsid w:val="3FCFAED9"/>
    <w:multiLevelType w:val="hybridMultilevel"/>
    <w:lvl w:ilvl="0">
      <w:lvlJc w:val="left"/>
      <w:lvlText w:val="%1."/>
      <w:numFmt w:val="upperLetter"/>
      <w:start w:val="1"/>
    </w:lvl>
  </w:abstractNum>
  <w:abstractNum w:abstractNumId="57">
    <w:nsid w:val="F856867"/>
    <w:multiLevelType w:val="hybridMultilevel"/>
    <w:lvl w:ilvl="0">
      <w:lvlJc w:val="left"/>
      <w:lvlText w:val="(%1)"/>
      <w:numFmt w:val="decimal"/>
      <w:start w:val="1"/>
    </w:lvl>
  </w:abstractNum>
  <w:abstractNum w:abstractNumId="58">
    <w:nsid w:val="11B1CC33"/>
    <w:multiLevelType w:val="hybridMultilevel"/>
    <w:lvl w:ilvl="0">
      <w:lvlJc w:val="left"/>
      <w:lvlText w:val="%1."/>
      <w:numFmt w:val="upperLetter"/>
      <w:start w:val="2"/>
    </w:lvl>
  </w:abstractNum>
  <w:abstractNum w:abstractNumId="59">
    <w:nsid w:val="2E22FBB7"/>
    <w:multiLevelType w:val="hybridMultilevel"/>
    <w:lvl w:ilvl="0">
      <w:lvlJc w:val="left"/>
      <w:lvlText w:val="(%1)"/>
      <w:numFmt w:val="decimal"/>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lvl w:ilvl="1">
      <w:lvlJc w:val="left"/>
      <w:lvlText w:val="●"/>
      <w:numFmt w:val="bullet"/>
      <w:start w:val="1"/>
    </w:lvl>
  </w:abstractNum>
  <w:abstractNum w:abstractNumId="62">
    <w:nsid w:val="744939A3"/>
    <w:multiLevelType w:val="hybridMultilevel"/>
    <w:lvl w:ilvl="0">
      <w:lvlJc w:val="left"/>
      <w:lvlText w:val="%1."/>
      <w:numFmt w:val="upperLetter"/>
      <w:start w:val="3"/>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1)"/>
      <w:numFmt w:val="decimal"/>
      <w:start w:val="1"/>
    </w:lvl>
  </w:abstractNum>
  <w:abstractNum w:abstractNumId="66">
    <w:nsid w:val="3F7F5DD9"/>
    <w:multiLevelType w:val="hybridMultilevel"/>
    <w:lvl w:ilvl="0">
      <w:lvlJc w:val="left"/>
      <w:lvlText w:val="●"/>
      <w:numFmt w:val="bullet"/>
      <w:start w:val="1"/>
    </w:lvl>
  </w:abstractNum>
  <w:abstractNum w:abstractNumId="67">
    <w:nsid w:val="2AE05A34"/>
    <w:multiLevelType w:val="hybridMultilevel"/>
    <w:lvl w:ilvl="0">
      <w:lvlJc w:val="left"/>
      <w:lvlText w:val="(%1)"/>
      <w:numFmt w:val="lowerRoman"/>
      <w:start w:val="2"/>
    </w:lvl>
  </w:abstractNum>
  <w:abstractNum w:abstractNumId="68">
    <w:nsid w:val="32794FF7"/>
    <w:multiLevelType w:val="hybridMultilevel"/>
    <w:lvl w:ilvl="0">
      <w:lvlJc w:val="left"/>
      <w:lvlText w:val="●"/>
      <w:numFmt w:val="bullet"/>
      <w:start w:val="1"/>
    </w:lvl>
  </w:abstractNum>
  <w:abstractNum w:abstractNumId="69">
    <w:nsid w:val="5454945E"/>
    <w:multiLevelType w:val="hybridMultilevel"/>
    <w:lvl w:ilvl="0">
      <w:lvlJc w:val="left"/>
      <w:lvlText w:val="●"/>
      <w:numFmt w:val="bullet"/>
      <w:start w:val="1"/>
    </w:lvl>
  </w:abstractNum>
  <w:abstractNum w:abstractNumId="70">
    <w:nsid w:val="4DEFDFA0"/>
    <w:multiLevelType w:val="hybridMultilevel"/>
    <w:lvl w:ilvl="0">
      <w:lvlJc w:val="left"/>
      <w:lvlText w:val="●"/>
      <w:numFmt w:val="bullet"/>
      <w:start w:val="1"/>
    </w:lvl>
  </w:abstractNum>
  <w:abstractNum w:abstractNumId="71">
    <w:nsid w:val="2123D5F2"/>
    <w:multiLevelType w:val="hybridMultilevel"/>
    <w:lvl w:ilvl="0">
      <w:lvlJc w:val="left"/>
      <w:lvlText w:val="●"/>
      <w:numFmt w:val="bullet"/>
      <w:start w:val="1"/>
    </w:lvl>
  </w:abstractNum>
  <w:abstractNum w:abstractNumId="72">
    <w:nsid w:val="135B8110"/>
    <w:multiLevelType w:val="hybridMultilevel"/>
    <w:lvl w:ilvl="0">
      <w:lvlJc w:val="left"/>
      <w:lvlText w:val="●"/>
      <w:numFmt w:val="bullet"/>
      <w:start w:val="1"/>
    </w:lvl>
  </w:abstractNum>
  <w:abstractNum w:abstractNumId="73">
    <w:nsid w:val="94927A8"/>
    <w:multiLevelType w:val="hybridMultilevel"/>
    <w:lvl w:ilvl="0">
      <w:lvlJc w:val="left"/>
      <w:lvlText w:val="●"/>
      <w:numFmt w:val="bullet"/>
      <w:start w:val="1"/>
    </w:lvl>
  </w:abstractNum>
  <w:abstractNum w:abstractNumId="74">
    <w:nsid w:val="DCDF8F6"/>
    <w:multiLevelType w:val="hybridMultilevel"/>
    <w:lvl w:ilvl="0">
      <w:lvlJc w:val="left"/>
      <w:lvlText w:val="●"/>
      <w:numFmt w:val="bullet"/>
      <w:start w:val="1"/>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1."/>
      <w:numFmt w:val="upperLetter"/>
      <w:start w:val="4"/>
    </w:lvl>
  </w:abstractNum>
  <w:abstractNum w:abstractNumId="78">
    <w:nsid w:val="2A6AD9BE"/>
    <w:multiLevelType w:val="hybridMultilevel"/>
    <w:lvl w:ilvl="0">
      <w:lvlJc w:val="left"/>
      <w:lvlText w:val="%1."/>
      <w:numFmt w:val="upperLetter"/>
      <w:start w:val="5"/>
    </w:lvl>
  </w:abstractNum>
  <w:abstractNum w:abstractNumId="79">
    <w:nsid w:val="BAAC1B4"/>
    <w:multiLevelType w:val="hybridMultilevel"/>
    <w:lvl w:ilvl="0">
      <w:lvlJc w:val="left"/>
      <w:lvlText w:val="%1."/>
      <w:numFmt w:val="upperLetter"/>
      <w:start w:val="1"/>
    </w:lvl>
  </w:abstractNum>
  <w:abstractNum w:abstractNumId="80">
    <w:nsid w:val="36B2ACBC"/>
    <w:multiLevelType w:val="hybridMultilevel"/>
    <w:lvl w:ilvl="0">
      <w:lvlJc w:val="left"/>
      <w:lvlText w:val="●"/>
      <w:numFmt w:val="bullet"/>
      <w:start w:val="1"/>
    </w:lvl>
  </w:abstractNum>
  <w:abstractNum w:abstractNumId="81">
    <w:nsid w:val="779D8544"/>
    <w:multiLevelType w:val="hybridMultilevel"/>
    <w:lvl w:ilvl="0">
      <w:lvlJc w:val="left"/>
      <w:lvlText w:val="*"/>
      <w:numFmt w:val="bullet"/>
      <w:start w:val="1"/>
    </w:lvl>
  </w:abstractNum>
  <w:abstractNum w:abstractNumId="82">
    <w:nsid w:val="4AB26E78"/>
    <w:multiLevelType w:val="hybridMultilevel"/>
    <w:lvl w:ilvl="0">
      <w:lvlJc w:val="left"/>
      <w:lvlText w:val="(%1)"/>
      <w:numFmt w:val="decimal"/>
      <w:start w:val="1"/>
    </w:lvl>
  </w:abstractNum>
  <w:abstractNum w:abstractNumId="83">
    <w:nsid w:val="21FAA2FA"/>
    <w:multiLevelType w:val="hybridMultilevel"/>
    <w:lvl w:ilvl="0">
      <w:lvlJc w:val="left"/>
      <w:lvlText w:val="%1."/>
      <w:numFmt w:val="upperLetter"/>
      <w:start w:val="2"/>
    </w:lvl>
  </w:abstractNum>
  <w:abstractNum w:abstractNumId="84">
    <w:nsid w:val="5451CF49"/>
    <w:multiLevelType w:val="hybridMultilevel"/>
    <w:lvl w:ilvl="0">
      <w:lvlJc w:val="left"/>
      <w:lvlText w:val="%1."/>
      <w:numFmt w:val="upperLetter"/>
      <w:start w:val="3"/>
    </w:lvl>
  </w:abstractNum>
  <w:abstractNum w:abstractNumId="85">
    <w:nsid w:val="6181EF69"/>
    <w:multiLevelType w:val="hybridMultilevel"/>
    <w:lvl w:ilvl="0">
      <w:lvlJc w:val="left"/>
      <w:lvlText w:val="%1."/>
      <w:numFmt w:val="upperLetter"/>
      <w:start w:val="1"/>
    </w:lvl>
  </w:abstractNum>
  <w:abstractNum w:abstractNumId="86">
    <w:nsid w:val="3E6400E6"/>
    <w:multiLevelType w:val="hybridMultilevel"/>
    <w:lvl w:ilvl="0">
      <w:lvlJc w:val="left"/>
      <w:lvlText w:val="%1."/>
      <w:numFmt w:val="upperLetter"/>
      <w:start w:val="2"/>
    </w:lvl>
  </w:abstractNum>
  <w:abstractNum w:abstractNumId="87">
    <w:nsid w:val="14217E23"/>
    <w:multiLevelType w:val="hybridMultilevel"/>
    <w:lvl w:ilvl="0">
      <w:lvlJc w:val="left"/>
      <w:lvlText w:val="%1."/>
      <w:numFmt w:val="upperLetter"/>
      <w:start w:val="1"/>
    </w:lvl>
  </w:abstractNum>
  <w:abstractNum w:abstractNumId="88">
    <w:nsid w:val="710757D0"/>
    <w:multiLevelType w:val="hybridMultilevel"/>
    <w:lvl w:ilvl="0">
      <w:lvlJc w:val="left"/>
      <w:lvlText w:val="%1."/>
      <w:numFmt w:val="upperLetter"/>
      <w:start w:val="2"/>
    </w:lvl>
  </w:abstractNum>
  <w:abstractNum w:abstractNumId="89">
    <w:nsid w:val="5015CD1A"/>
    <w:multiLevelType w:val="hybridMultilevel"/>
    <w:lvl w:ilvl="0">
      <w:lvlJc w:val="left"/>
      <w:lvlText w:val="%1."/>
      <w:numFmt w:val="upperLetter"/>
      <w:start w:val="3"/>
    </w:lvl>
  </w:abstractNum>
  <w:abstractNum w:abstractNumId="90">
    <w:nsid w:val="424479DA"/>
    <w:multiLevelType w:val="hybridMultilevel"/>
    <w:lvl w:ilvl="0">
      <w:lvlJc w:val="left"/>
      <w:lvlText w:val="%1."/>
      <w:numFmt w:val="upperLetter"/>
      <w:start w:val="4"/>
    </w:lvl>
  </w:abstractNum>
  <w:abstractNum w:abstractNumId="91">
    <w:nsid w:val="1A9A9E69"/>
    <w:multiLevelType w:val="hybridMultilevel"/>
    <w:lvl w:ilvl="0">
      <w:lvlJc w:val="left"/>
      <w:lvlText w:val="%1."/>
      <w:numFmt w:val="upperLetter"/>
      <w:start w:val="5"/>
    </w:lvl>
  </w:abstractNum>
  <w:abstractNum w:abstractNumId="92">
    <w:nsid w:val="475E256A"/>
    <w:multiLevelType w:val="hybridMultilevel"/>
    <w:lvl w:ilvl="0">
      <w:lvlJc w:val="left"/>
      <w:lvlText w:val="%1."/>
      <w:numFmt w:val="upperLetter"/>
      <w:start w:val="6"/>
    </w:lvl>
  </w:abstractNum>
  <w:abstractNum w:abstractNumId="93">
    <w:nsid w:val="368DB37E"/>
    <w:multiLevelType w:val="hybridMultilevel"/>
    <w:lvl w:ilvl="0">
      <w:lvlJc w:val="left"/>
      <w:lvlText w:val="%1."/>
      <w:numFmt w:val="upperLetter"/>
      <w:start w:val="1"/>
    </w:lvl>
  </w:abstractNum>
  <w:abstractNum w:abstractNumId="94">
    <w:nsid w:val="6A3B714C"/>
    <w:multiLevelType w:val="hybridMultilevel"/>
    <w:lvl w:ilvl="0">
      <w:lvlJc w:val="left"/>
      <w:lvlText w:val="%1."/>
      <w:numFmt w:val="upperLetter"/>
      <w:start w:val="2"/>
    </w:lvl>
  </w:abstractNum>
  <w:abstractNum w:abstractNumId="95">
    <w:nsid w:val="327B517E"/>
    <w:multiLevelType w:val="hybridMultilevel"/>
    <w:lvl w:ilvl="0">
      <w:lvlJc w:val="left"/>
      <w:lvlText w:val="●"/>
      <w:numFmt w:val="bullet"/>
      <w:start w:val="1"/>
    </w:lvl>
  </w:abstractNum>
  <w:abstractNum w:abstractNumId="96">
    <w:nsid w:val="1F461B51"/>
    <w:multiLevelType w:val="hybridMultilevel"/>
    <w:lvl w:ilvl="0">
      <w:lvlJc w:val="left"/>
      <w:lvlText w:val="%1."/>
      <w:numFmt w:val="upperLetter"/>
      <w:start w:val="3"/>
    </w:lvl>
  </w:abstractNum>
  <w:abstractNum w:abstractNumId="97">
    <w:nsid w:val="29BACF25"/>
    <w:multiLevelType w:val="hybridMultilevel"/>
    <w:lvl w:ilvl="0">
      <w:lvlJc w:val="left"/>
      <w:lvlText w:val="%1."/>
      <w:numFmt w:val="upperLetter"/>
      <w:start w:val="4"/>
    </w:lvl>
  </w:abstractNum>
  <w:abstractNum w:abstractNumId="98">
    <w:nsid w:val="5D5BABB3"/>
    <w:multiLevelType w:val="hybridMultilevel"/>
    <w:lvl w:ilvl="0">
      <w:lvlJc w:val="left"/>
      <w:lvlText w:val="%1."/>
      <w:numFmt w:val="upperLetter"/>
      <w:start w:val="5"/>
    </w:lvl>
  </w:abstractNum>
  <w:abstractNum w:abstractNumId="99">
    <w:nsid w:val="51BF6B48"/>
    <w:multiLevelType w:val="hybridMultilevel"/>
    <w:lvl w:ilvl="0">
      <w:lvlJc w:val="left"/>
      <w:lvlText w:val="●"/>
      <w:numFmt w:val="bullet"/>
      <w:start w:val="1"/>
    </w:lvl>
  </w:abstractNum>
  <w:abstractNum w:abstractNumId="100">
    <w:nsid w:val="7E0F6384"/>
    <w:multiLevelType w:val="hybridMultilevel"/>
    <w:lvl w:ilvl="0">
      <w:lvlJc w:val="left"/>
      <w:lvlText w:val="●"/>
      <w:numFmt w:val="bullet"/>
      <w:start w:val="1"/>
    </w:lvl>
  </w:abstractNum>
  <w:abstractNum w:abstractNumId="101">
    <w:nsid w:val="2B4B8B53"/>
    <w:multiLevelType w:val="hybridMultilevel"/>
    <w:lvl w:ilvl="0">
      <w:lvlJc w:val="left"/>
      <w:lvlText w:val="●"/>
      <w:numFmt w:val="bullet"/>
      <w:start w:val="1"/>
    </w:lvl>
  </w:abstractNum>
  <w:abstractNum w:abstractNumId="102">
    <w:nsid w:val="72E3413A"/>
    <w:multiLevelType w:val="hybridMultilevel"/>
    <w:lvl w:ilvl="0">
      <w:lvlJc w:val="left"/>
      <w:lvlText w:val="●"/>
      <w:numFmt w:val="bullet"/>
      <w:start w:val="1"/>
    </w:lvl>
  </w:abstractNum>
  <w:abstractNum w:abstractNumId="103">
    <w:nsid w:val="116AE494"/>
    <w:multiLevelType w:val="hybridMultilevel"/>
    <w:lvl w:ilvl="0">
      <w:lvlJc w:val="left"/>
      <w:lvlText w:val="●"/>
      <w:numFmt w:val="bullet"/>
      <w:start w:val="1"/>
    </w:lvl>
  </w:abstractNum>
  <w:abstractNum w:abstractNumId="104">
    <w:nsid w:val="3494B2FB"/>
    <w:multiLevelType w:val="hybridMultilevel"/>
    <w:lvl w:ilvl="0">
      <w:lvlJc w:val="left"/>
      <w:lvlText w:val="%1."/>
      <w:numFmt w:val="upperLetter"/>
      <w:start w:val="6"/>
    </w:lvl>
  </w:abstractNum>
  <w:abstractNum w:abstractNumId="105">
    <w:nsid w:val="B13A31"/>
    <w:multiLevelType w:val="hybridMultilevel"/>
    <w:lvl w:ilvl="0">
      <w:lvlJc w:val="left"/>
      <w:lvlText w:val="%1."/>
      <w:numFmt w:val="upperLetter"/>
      <w:start w:val="7"/>
    </w:lvl>
  </w:abstractNum>
  <w:abstractNum w:abstractNumId="106">
    <w:nsid w:val="64429599"/>
    <w:multiLevelType w:val="hybridMultilevel"/>
    <w:lvl w:ilvl="0">
      <w:lvlJc w:val="left"/>
      <w:lvlText w:val="%1."/>
      <w:numFmt w:val="upperLetter"/>
      <w:start w:val="8"/>
    </w:lvl>
  </w:abstractNum>
  <w:abstractNum w:abstractNumId="107">
    <w:nsid w:val="631F1690"/>
    <w:multiLevelType w:val="hybridMultilevel"/>
    <w:lvl w:ilvl="0">
      <w:lvlJc w:val="left"/>
      <w:lvlText w:val="%1."/>
      <w:numFmt w:val="upperLetter"/>
      <w:start w:val="9"/>
    </w:lvl>
  </w:abstractNum>
  <w:abstractNum w:abstractNumId="108">
    <w:nsid w:val="25973E32"/>
    <w:multiLevelType w:val="hybridMultilevel"/>
    <w:lvl w:ilvl="0">
      <w:lvlJc w:val="left"/>
      <w:lvlText w:val="%1."/>
      <w:numFmt w:val="upperLetter"/>
      <w:start w:val="1"/>
    </w:lvl>
  </w:abstractNum>
  <w:abstractNum w:abstractNumId="109">
    <w:nsid w:val="EAD6F57"/>
    <w:multiLevelType w:val="hybridMultilevel"/>
    <w:lvl w:ilvl="0">
      <w:lvlJc w:val="left"/>
      <w:lvlText w:val="%1."/>
      <w:numFmt w:val="upperLetter"/>
      <w:start w:val="2"/>
    </w:lvl>
  </w:abstractNum>
  <w:abstractNum w:abstractNumId="110">
    <w:nsid w:val="6EC9D844"/>
    <w:multiLevelType w:val="hybridMultilevel"/>
    <w:lvl w:ilvl="0">
      <w:lvlJc w:val="left"/>
      <w:lvlText w:val="%1."/>
      <w:numFmt w:val="upperLetter"/>
      <w:start w:val="3"/>
    </w:lvl>
  </w:abstractNum>
  <w:abstractNum w:abstractNumId="111">
    <w:nsid w:val="5C49EAEE"/>
    <w:multiLevelType w:val="hybridMultilevel"/>
    <w:lvl w:ilvl="0">
      <w:lvlJc w:val="left"/>
      <w:lvlText w:val="%1."/>
      <w:numFmt w:val="upperLetter"/>
      <w:start w:val="4"/>
    </w:lvl>
  </w:abstractNum>
  <w:abstractNum w:abstractNumId="112">
    <w:nsid w:val="64AF49B"/>
    <w:multiLevelType w:val="hybridMultilevel"/>
    <w:lvl w:ilvl="0">
      <w:lvlJc w:val="left"/>
      <w:lvlText w:val="(%1)"/>
      <w:numFmt w:val="lowerLetter"/>
      <w:start w:val="1"/>
    </w:lvl>
  </w:abstractNum>
  <w:abstractNum w:abstractNumId="113">
    <w:nsid w:val="397C46BC"/>
    <w:multiLevelType w:val="hybridMultilevel"/>
    <w:lvl w:ilvl="0">
      <w:lvlJc w:val="left"/>
      <w:lvlText w:val="(%1)"/>
      <w:numFmt w:val="lowerLetter"/>
      <w:start w:val="2"/>
    </w:lvl>
  </w:abstractNum>
  <w:abstractNum w:abstractNumId="114">
    <w:nsid w:val="7E448DE9"/>
    <w:multiLevelType w:val="hybridMultilevel"/>
    <w:lvl w:ilvl="0">
      <w:lvlJc w:val="left"/>
      <w:lvlText w:val="(%1)"/>
      <w:numFmt w:val="lowerLetter"/>
      <w:start w:val="4"/>
    </w:lvl>
  </w:abstractNum>
  <w:abstractNum w:abstractNumId="115">
    <w:nsid w:val="5A9CC3E5"/>
    <w:multiLevelType w:val="hybridMultilevel"/>
    <w:lvl w:ilvl="0">
      <w:lvlJc w:val="left"/>
      <w:lvlText w:val="-"/>
      <w:numFmt w:val="bullet"/>
      <w:start w:val="1"/>
    </w:lvl>
  </w:abstractNum>
  <w:abstractNum w:abstractNumId="116">
    <w:nsid w:val="1AFE3625"/>
    <w:multiLevelType w:val="hybridMultilevel"/>
    <w:lvl w:ilvl="0">
      <w:lvlJc w:val="left"/>
      <w:lvlText w:val="%1"/>
      <w:numFmt w:val="decimal"/>
      <w:start w:val="63"/>
    </w:lvl>
  </w:abstractNum>
  <w:abstractNum w:abstractNumId="117">
    <w:nsid w:val="3CA88ECF"/>
    <w:multiLevelType w:val="hybridMultilevel"/>
    <w:lvl w:ilvl="0">
      <w:lvlJc w:val="left"/>
      <w:lvlText w:val="%1"/>
      <w:numFmt w:val="decimal"/>
      <w:start w:val="300"/>
    </w:lvl>
  </w:abstractNum>
  <w:abstractNum w:abstractNumId="118">
    <w:nsid w:val="6EBE4208"/>
    <w:multiLevelType w:val="hybridMultilevel"/>
    <w:lvl w:ilvl="0">
      <w:lvlJc w:val="left"/>
      <w:lvlText w:val="(%1)"/>
      <w:numFmt w:val="decimal"/>
      <w:start w:val="1"/>
    </w:lvl>
  </w:abstractNum>
  <w:abstractNum w:abstractNumId="119">
    <w:nsid w:val="C058DF5"/>
    <w:multiLevelType w:val="hybridMultilevel"/>
    <w:lvl w:ilvl="0">
      <w:lvlJc w:val="left"/>
      <w:lvlText w:val="●"/>
      <w:numFmt w:val="bullet"/>
      <w:start w:val="1"/>
    </w:lvl>
  </w:abstractNum>
  <w:abstractNum w:abstractNumId="120">
    <w:nsid w:val="CBE5BE9"/>
    <w:multiLevelType w:val="hybridMultilevel"/>
    <w:lvl w:ilvl="0">
      <w:lvlJc w:val="left"/>
      <w:lvlText w:val="●"/>
      <w:numFmt w:val="bullet"/>
      <w:start w:val="1"/>
    </w:lvl>
  </w:abstractNum>
  <w:abstractNum w:abstractNumId="121">
    <w:nsid w:val="3102BBE2"/>
    <w:multiLevelType w:val="hybridMultilevel"/>
    <w:lvl w:ilvl="0">
      <w:lvlJc w:val="left"/>
      <w:lvlText w:val="%1"/>
      <w:numFmt w:val="decimal"/>
      <w:start w:val="13"/>
    </w:lvl>
  </w:abstractNum>
  <w:abstractNum w:abstractNumId="122">
    <w:nsid w:val="26A02C5E"/>
    <w:multiLevelType w:val="hybridMultilevel"/>
    <w:lvl w:ilvl="0">
      <w:lvlJc w:val="left"/>
      <w:lvlText w:val="(*)"/>
      <w:numFmt w:val="bullet"/>
      <w:start w:val="1"/>
    </w:lvl>
  </w:abstractNum>
  <w:abstractNum w:abstractNumId="123">
    <w:nsid w:val="541C8153"/>
    <w:multiLevelType w:val="hybridMultilevel"/>
    <w:lvl w:ilvl="0">
      <w:lvlJc w:val="left"/>
      <w:lvlText w:val="(**)"/>
      <w:numFmt w:val="bullet"/>
      <w:start w:val="1"/>
    </w:lvl>
  </w:abstractNum>
  <w:abstractNum w:abstractNumId="124">
    <w:nsid w:val="67906F60"/>
    <w:multiLevelType w:val="hybridMultilevel"/>
    <w:lvl w:ilvl="0">
      <w:lvlJc w:val="left"/>
      <w:lvlText w:val="%1."/>
      <w:numFmt w:val="lowerLetter"/>
      <w:start w:val="1"/>
    </w:lvl>
  </w:abstractNum>
  <w:abstractNum w:abstractNumId="125">
    <w:nsid w:val="10DB9DAA"/>
    <w:multiLevelType w:val="hybridMultilevel"/>
    <w:lvl w:ilvl="0">
      <w:lvlJc w:val="left"/>
      <w:lvlText w:val="%1."/>
      <w:numFmt w:val="lowerLetter"/>
      <w:start w:val="1"/>
    </w:lvl>
  </w:abstractNum>
  <w:abstractNum w:abstractNumId="126">
    <w:nsid w:val="697D2D2"/>
    <w:multiLevelType w:val="hybridMultilevel"/>
    <w:lvl w:ilvl="0">
      <w:lvlJc w:val="left"/>
      <w:lvlText w:val="%1."/>
      <w:numFmt w:val="lowerLetter"/>
      <w:start w:val="2"/>
    </w:lvl>
    <w:lvl w:ilvl="1">
      <w:lvlJc w:val="left"/>
      <w:lvlText w:val="%2."/>
      <w:numFmt w:val="decimal"/>
      <w:start w:val="1"/>
    </w:lvl>
  </w:abstractNum>
  <w:abstractNum w:abstractNumId="127">
    <w:nsid w:val="6D68AB2"/>
    <w:multiLevelType w:val="hybridMultilevel"/>
    <w:lvl w:ilvl="0">
      <w:lvlJc w:val="left"/>
      <w:lvlText w:val="%1."/>
      <w:numFmt w:val="lowerLetter"/>
      <w:start w:val="5"/>
    </w:lvl>
  </w:abstractNum>
  <w:abstractNum w:abstractNumId="128">
    <w:nsid w:val="3A966CD0"/>
    <w:multiLevelType w:val="hybridMultilevel"/>
    <w:lvl w:ilvl="0">
      <w:lvlJc w:val="left"/>
      <w:lvlText w:val="%1."/>
      <w:numFmt w:val="lowerLetter"/>
      <w:start w:val="7"/>
    </w:lvl>
  </w:abstractNum>
  <w:abstractNum w:abstractNumId="129">
    <w:nsid w:val="63F37E85"/>
    <w:multiLevelType w:val="hybridMultilevel"/>
    <w:lvl w:ilvl="0">
      <w:lvlJc w:val="left"/>
      <w:lvlText w:val="%1."/>
      <w:numFmt w:val="lowerLetter"/>
      <w:start w:val="8"/>
    </w:lvl>
  </w:abstractNum>
  <w:abstractNum w:abstractNumId="130">
    <w:nsid w:val="5895F5FA"/>
    <w:multiLevelType w:val="hybridMultilevel"/>
    <w:lvl w:ilvl="0">
      <w:lvlJc w:val="left"/>
      <w:lvlText w:val="%1."/>
      <w:numFmt w:val="lowerRoman"/>
      <w:start w:val="1"/>
    </w:lvl>
    <w:lvl w:ilvl="1">
      <w:lvlJc w:val="left"/>
      <w:lvlText w:val="%2."/>
      <w:numFmt w:val="decimal"/>
      <w:start w:val="1"/>
    </w:lvl>
  </w:abstractNum>
  <w:abstractNum w:abstractNumId="131">
    <w:nsid w:val="38A5D054"/>
    <w:multiLevelType w:val="hybridMultilevel"/>
    <w:lvl w:ilvl="0">
      <w:lvlJc w:val="left"/>
      <w:lvlText w:val="%1."/>
      <w:numFmt w:val="lowerLetter"/>
      <w:start w:val="10"/>
    </w:lvl>
  </w:abstractNum>
  <w:abstractNum w:abstractNumId="132">
    <w:nsid w:val="F3F09D8"/>
    <w:multiLevelType w:val="hybridMultilevel"/>
    <w:lvl w:ilvl="0">
      <w:lvlJc w:val="left"/>
      <w:lvlText w:val="(*)"/>
      <w:numFmt w:val="bullet"/>
      <w:start w:val="1"/>
    </w:lvl>
  </w:abstractNum>
  <w:abstractNum w:abstractNumId="133">
    <w:nsid w:val="4B793735"/>
    <w:multiLevelType w:val="hybridMultilevel"/>
    <w:lvl w:ilvl="0">
      <w:lvlJc w:val="left"/>
      <w:lvlText w:val="%1."/>
      <w:numFmt w:val="lowerLetter"/>
      <w:start w:val="11"/>
    </w:lvl>
  </w:abstractNum>
  <w:abstractNum w:abstractNumId="134">
    <w:nsid w:val="4A10B4E8"/>
    <w:multiLevelType w:val="hybridMultilevel"/>
    <w:lvl w:ilvl="0">
      <w:lvlJc w:val="left"/>
      <w:lvlText w:val="%1."/>
      <w:numFmt w:val="lowerLetter"/>
      <w:start w:val="12"/>
    </w:lvl>
    <w:lvl w:ilvl="1">
      <w:lvlJc w:val="left"/>
      <w:lvlText w:val="%2."/>
      <w:numFmt w:val="decimal"/>
      <w:start w:val="1"/>
    </w:lvl>
    <w:lvl w:ilvl="2">
      <w:lvlJc w:val="left"/>
      <w:lvlText w:val="%3."/>
      <w:numFmt w:val="lowerLetter"/>
      <w:start w:val="1"/>
    </w:lvl>
  </w:abstractNum>
  <w:abstractNum w:abstractNumId="135">
    <w:nsid w:val="43D3BCD4"/>
    <w:multiLevelType w:val="hybridMultilevel"/>
    <w:lvl w:ilvl="0">
      <w:lvlJc w:val="left"/>
      <w:lvlText w:val="%1."/>
      <w:numFmt w:val="decimal"/>
      <w:start w:val="2"/>
    </w:lvl>
    <w:lvl w:ilvl="1">
      <w:lvlJc w:val="left"/>
      <w:lvlText w:val="%2."/>
      <w:numFmt w:val="lowerLetter"/>
      <w:start w:val="1"/>
    </w:lvl>
  </w:abstractNum>
  <w:abstractNum w:abstractNumId="136">
    <w:nsid w:val="4C2A7166"/>
    <w:multiLevelType w:val="hybridMultilevel"/>
    <w:lvl w:ilvl="0">
      <w:lvlJc w:val="left"/>
      <w:lvlText w:val="%1"/>
      <w:numFmt w:val="lowerLetter"/>
      <w:start w:val="1"/>
    </w:lvl>
    <w:lvl w:ilvl="1">
      <w:lvlJc w:val="left"/>
      <w:lvlText w:val="%2."/>
      <w:numFmt w:val="decimal"/>
      <w:start w:val="3"/>
    </w:lvl>
  </w:abstractNum>
  <w:abstractNum w:abstractNumId="137">
    <w:nsid w:val="2E534A82"/>
    <w:multiLevelType w:val="hybridMultilevel"/>
    <w:lvl w:ilvl="0">
      <w:lvlJc w:val="left"/>
      <w:lvlText w:val="%1."/>
      <w:numFmt w:val="lowerLetter"/>
      <w:start w:val="13"/>
    </w:lvl>
    <w:lvl w:ilvl="1">
      <w:lvlJc w:val="left"/>
      <w:lvlText w:val="%2"/>
      <w:numFmt w:val="decimal"/>
      <w:start w:val="1"/>
    </w:lvl>
  </w:abstractNum>
  <w:abstractNum w:abstractNumId="138">
    <w:nsid w:val="26F2D364"/>
    <w:multiLevelType w:val="hybridMultilevel"/>
    <w:lvl w:ilvl="0">
      <w:lvlJc w:val="left"/>
      <w:lvlText w:val="%1."/>
      <w:numFmt w:val="lowerLetter"/>
      <w:start w:val="14"/>
    </w:lvl>
    <w:lvl w:ilvl="1">
      <w:lvlJc w:val="left"/>
      <w:lvlText w:val="%2."/>
      <w:numFmt w:val="decimal"/>
      <w:start w:val="1"/>
    </w:lvl>
  </w:abstractNum>
  <w:abstractNum w:abstractNumId="139">
    <w:nsid w:val="71C1AF98"/>
    <w:multiLevelType w:val="hybridMultilevel"/>
    <w:lvl w:ilvl="0">
      <w:lvlJc w:val="left"/>
      <w:lvlText w:val="%1."/>
      <w:numFmt w:val="lowerLetter"/>
      <w:start w:val="16"/>
    </w:lvl>
  </w:abstractNum>
  <w:abstractNum w:abstractNumId="140">
    <w:nsid w:val="3D00B9D9"/>
    <w:multiLevelType w:val="hybridMultilevel"/>
    <w:lvl w:ilvl="0">
      <w:lvlJc w:val="left"/>
      <w:lvlText w:val="%1."/>
      <w:numFmt w:val="lowerLetter"/>
      <w:start w:val="19"/>
    </w:lvl>
    <w:lvl w:ilvl="1">
      <w:lvlJc w:val="left"/>
      <w:lvlText w:val="%2."/>
      <w:numFmt w:val="decimal"/>
      <w:start w:val="1"/>
    </w:lvl>
  </w:abstractNum>
  <w:abstractNum w:abstractNumId="141">
    <w:nsid w:val="15BCABA8"/>
    <w:multiLevelType w:val="hybridMultilevel"/>
    <w:lvl w:ilvl="0">
      <w:lvlJc w:val="left"/>
      <w:lvlText w:val="%1."/>
      <w:numFmt w:val="lowerLetter"/>
      <w:start w:val="19"/>
    </w:lvl>
  </w:abstractNum>
  <w:abstractNum w:abstractNumId="142">
    <w:nsid w:val="4E0B9A87"/>
    <w:multiLevelType w:val="hybridMultilevel"/>
    <w:lvl w:ilvl="0">
      <w:lvlJc w:val="left"/>
      <w:lvlText w:val="%1."/>
      <w:numFmt w:val="decimal"/>
      <w:start w:val="3"/>
    </w:lvl>
  </w:abstractNum>
  <w:abstractNum w:abstractNumId="143">
    <w:nsid w:val="434BAE75"/>
    <w:multiLevelType w:val="hybridMultilevel"/>
    <w:lvl w:ilvl="0">
      <w:lvlJc w:val="left"/>
      <w:lvlText w:val="%1."/>
      <w:numFmt w:val="lowerLetter"/>
      <w:start w:val="19"/>
    </w:lvl>
  </w:abstractNum>
  <w:abstractNum w:abstractNumId="144">
    <w:nsid w:val="4F38F265"/>
    <w:multiLevelType w:val="hybridMultilevel"/>
    <w:lvl w:ilvl="0">
      <w:lvlJc w:val="left"/>
      <w:lvlText w:val="%1."/>
      <w:numFmt w:val="decimal"/>
      <w:start w:val="4"/>
    </w:lvl>
  </w:abstractNum>
  <w:abstractNum w:abstractNumId="145">
    <w:nsid w:val="4C502870"/>
    <w:multiLevelType w:val="hybridMultilevel"/>
    <w:lvl w:ilvl="0">
      <w:lvlJc w:val="left"/>
      <w:lvlText w:val="%1."/>
      <w:numFmt w:val="lowerLetter"/>
      <w:start w:val="1"/>
    </w:lvl>
  </w:abstractNum>
  <w:abstractNum w:abstractNumId="146">
    <w:nsid w:val="1DE8725A"/>
    <w:multiLevelType w:val="hybridMultilevel"/>
    <w:lvl w:ilvl="0">
      <w:lvlJc w:val="left"/>
      <w:lvlText w:val="●"/>
      <w:numFmt w:val="bullet"/>
      <w:start w:val="1"/>
    </w:lvl>
  </w:abstractNum>
  <w:abstractNum w:abstractNumId="147">
    <w:nsid w:val="6A37288A"/>
    <w:multiLevelType w:val="hybridMultilevel"/>
    <w:lvl w:ilvl="0">
      <w:lvlJc w:val="left"/>
      <w:lvlText w:val="●"/>
      <w:numFmt w:val="bullet"/>
      <w:start w:val="1"/>
    </w:lvl>
  </w:abstractNum>
  <w:abstractNum w:abstractNumId="148">
    <w:nsid w:val="8F8B73F"/>
    <w:multiLevelType w:val="hybridMultilevel"/>
    <w:lvl w:ilvl="0">
      <w:lvlJc w:val="left"/>
      <w:lvlText w:val="●"/>
      <w:numFmt w:val="bullet"/>
      <w:start w:val="1"/>
    </w:lvl>
  </w:abstractNum>
  <w:abstractNum w:abstractNumId="149">
    <w:nsid w:val="CA6B462"/>
    <w:multiLevelType w:val="hybridMultilevel"/>
    <w:lvl w:ilvl="0">
      <w:lvlJc w:val="left"/>
      <w:lvlText w:val="(%1)"/>
      <w:numFmt w:val="decimal"/>
      <w:start w:val="1"/>
    </w:lvl>
  </w:abstractNum>
  <w:abstractNum w:abstractNumId="150">
    <w:nsid w:val="763CB680"/>
    <w:multiLevelType w:val="hybridMultilevel"/>
    <w:lvl w:ilvl="0">
      <w:lvlJc w:val="left"/>
      <w:lvlText w:val="(%1)"/>
      <w:numFmt w:val="decimal"/>
      <w:start w:val="1"/>
    </w:lvl>
  </w:abstractNum>
  <w:abstractNum w:abstractNumId="151">
    <w:nsid w:val="15B71329"/>
    <w:multiLevelType w:val="hybridMultilevel"/>
    <w:lvl w:ilvl="0">
      <w:lvlJc w:val="left"/>
      <w:lvlText w:val="%1."/>
      <w:numFmt w:val="lowerLetter"/>
      <w:start w:val="2"/>
    </w:lvl>
  </w:abstractNum>
  <w:abstractNum w:abstractNumId="152">
    <w:nsid w:val="3DA97044"/>
    <w:multiLevelType w:val="hybridMultilevel"/>
    <w:lvl w:ilvl="0">
      <w:lvlJc w:val="left"/>
      <w:lvlText w:val="$"/>
      <w:numFmt w:val="bullet"/>
      <w:start w:val="1"/>
    </w:lvl>
  </w:abstractNum>
  <w:abstractNum w:abstractNumId="153">
    <w:nsid w:val="1CDCE2DE"/>
    <w:multiLevelType w:val="hybridMultilevel"/>
    <w:lvl w:ilvl="0">
      <w:lvlJc w:val="left"/>
      <w:lvlText w:val="$"/>
      <w:numFmt w:val="bullet"/>
      <w:start w:val="1"/>
    </w:lvl>
  </w:abstractNum>
  <w:abstractNum w:abstractNumId="154">
    <w:nsid w:val="69D3947C"/>
    <w:multiLevelType w:val="hybridMultilevel"/>
    <w:lvl w:ilvl="0">
      <w:lvlJc w:val="left"/>
      <w:lvlText w:val="(*)"/>
      <w:numFmt w:val="bullet"/>
      <w:start w:val="1"/>
    </w:lvl>
  </w:abstractNum>
  <w:abstractNum w:abstractNumId="155">
    <w:nsid w:val="2539DFA5"/>
    <w:multiLevelType w:val="hybridMultilevel"/>
    <w:lvl w:ilvl="0">
      <w:lvlJc w:val="left"/>
      <w:lvlText w:val="(***)"/>
      <w:numFmt w:val="bullet"/>
      <w:start w:val="1"/>
    </w:lvl>
  </w:abstractNum>
  <w:abstractNum w:abstractNumId="156">
    <w:nsid w:val="2DB88089"/>
    <w:multiLevelType w:val="hybridMultilevel"/>
    <w:lvl w:ilvl="0">
      <w:lvlJc w:val="left"/>
      <w:lvlText w:val="%1."/>
      <w:numFmt w:val="lowerLetter"/>
      <w:start w:val="2"/>
    </w:lvl>
  </w:abstractNum>
  <w:abstractNum w:abstractNumId="157">
    <w:nsid w:val="706B674E"/>
    <w:multiLevelType w:val="hybridMultilevel"/>
    <w:lvl w:ilvl="0">
      <w:lvlJc w:val="left"/>
      <w:lvlText w:val="%1."/>
      <w:numFmt w:val="lowerLetter"/>
      <w:start w:val="3"/>
    </w:lvl>
  </w:abstractNum>
  <w:abstractNum w:abstractNumId="158">
    <w:nsid w:val="2C106A57"/>
    <w:multiLevelType w:val="hybridMultilevel"/>
    <w:lvl w:ilvl="0">
      <w:lvlJc w:val="left"/>
      <w:lvlText w:val="$"/>
      <w:numFmt w:val="bullet"/>
      <w:start w:val="1"/>
    </w:lvl>
  </w:abstractNum>
  <w:abstractNum w:abstractNumId="159">
    <w:nsid w:val="684EED59"/>
    <w:multiLevelType w:val="hybridMultilevel"/>
    <w:lvl w:ilvl="0">
      <w:lvlJc w:val="left"/>
      <w:lvlText w:val="$"/>
      <w:numFmt w:val="bullet"/>
      <w:start w:val="1"/>
    </w:lvl>
  </w:abstractNum>
  <w:abstractNum w:abstractNumId="160">
    <w:nsid w:val="545EE5D3"/>
    <w:multiLevelType w:val="hybridMultilevel"/>
    <w:lvl w:ilvl="0">
      <w:lvlJc w:val="left"/>
      <w:lvlText w:val="$"/>
      <w:numFmt w:val="bullet"/>
      <w:start w:val="1"/>
    </w:lvl>
  </w:abstractNum>
  <w:abstractNum w:abstractNumId="161">
    <w:nsid w:val="4A66051"/>
    <w:multiLevelType w:val="hybridMultilevel"/>
    <w:lvl w:ilvl="0">
      <w:lvlJc w:val="left"/>
      <w:lvlText w:val="%1."/>
      <w:numFmt w:val="lowerLetter"/>
      <w:start w:val="4"/>
    </w:lvl>
  </w:abstractNum>
  <w:abstractNum w:abstractNumId="162">
    <w:nsid w:val="20F4BDAD"/>
    <w:multiLevelType w:val="hybridMultilevel"/>
    <w:lvl w:ilvl="0">
      <w:lvlJc w:val="left"/>
      <w:lvlText w:val="%1."/>
      <w:numFmt w:val="lowerLetter"/>
      <w:start w:val="1"/>
    </w:lvl>
    <w:lvl w:ilvl="1">
      <w:lvlJc w:val="left"/>
      <w:lvlText w:val="%2."/>
      <w:numFmt w:val="decimal"/>
      <w:start w:val="1"/>
    </w:lvl>
  </w:abstractNum>
  <w:abstractNum w:abstractNumId="163">
    <w:nsid w:val="639DEFAC"/>
    <w:multiLevelType w:val="hybridMultilevel"/>
    <w:lvl w:ilvl="0">
      <w:lvlJc w:val="left"/>
      <w:lvlText w:val="%1."/>
      <w:numFmt w:val="lowerLetter"/>
      <w:start w:val="3"/>
    </w:lvl>
  </w:abstractNum>
  <w:abstractNum w:abstractNumId="164">
    <w:nsid w:val="501F9786"/>
    <w:multiLevelType w:val="hybridMultilevel"/>
    <w:lvl w:ilvl="0">
      <w:lvlJc w:val="left"/>
      <w:lvlText w:val="%1."/>
      <w:numFmt w:val="lowerLetter"/>
      <w:start w:val="4"/>
    </w:lvl>
  </w:abstractNum>
  <w:abstractNum w:abstractNumId="165">
    <w:nsid w:val="6B057295"/>
    <w:multiLevelType w:val="hybridMultilevel"/>
    <w:lvl w:ilvl="0">
      <w:lvlJc w:val="left"/>
      <w:lvlText w:val="%1."/>
      <w:numFmt w:val="lowerLetter"/>
      <w:start w:val="1"/>
    </w:lvl>
    <w:lvl w:ilvl="1">
      <w:lvlJc w:val="left"/>
      <w:lvlText w:val="%2."/>
      <w:numFmt w:val="decimal"/>
      <w:start w:val="1"/>
    </w:lvl>
  </w:abstractNum>
  <w:abstractNum w:abstractNumId="166">
    <w:nsid w:val="2771AC80"/>
    <w:multiLevelType w:val="hybridMultilevel"/>
    <w:lvl w:ilvl="0">
      <w:lvlJc w:val="left"/>
      <w:lvlText w:val="%1."/>
      <w:numFmt w:val="lowerLetter"/>
      <w:start w:val="3"/>
    </w:lvl>
  </w:abstractNum>
  <w:abstractNum w:abstractNumId="167">
    <w:nsid w:val="1C4A08EC"/>
    <w:multiLevelType w:val="hybridMultilevel"/>
    <w:lvl w:ilvl="0">
      <w:lvlJc w:val="left"/>
      <w:lvlText w:val="%1."/>
      <w:numFmt w:val="lowerLetter"/>
      <w:start w:val="1"/>
    </w:lvl>
  </w:abstractNum>
  <w:abstractNum w:abstractNumId="168">
    <w:nsid w:val="1958BD17"/>
    <w:multiLevelType w:val="hybridMultilevel"/>
    <w:lvl w:ilvl="0">
      <w:lvlJc w:val="left"/>
      <w:lvlText w:val="%1."/>
      <w:numFmt w:val="lowerLetter"/>
      <w:start w:val="3"/>
    </w:lvl>
  </w:abstractNum>
  <w:abstractNum w:abstractNumId="169">
    <w:nsid w:val="4E647FE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70">
    <w:nsid w:val="E0BB885"/>
    <w:multiLevelType w:val="hybridMultilevel"/>
    <w:lvl w:ilvl="0">
      <w:lvlJc w:val="left"/>
      <w:lvlText w:val="%1)"/>
      <w:numFmt w:val="lowerLetter"/>
      <w:start w:val="3"/>
    </w:lvl>
  </w:abstractNum>
  <w:abstractNum w:abstractNumId="171">
    <w:nsid w:val="565976F1"/>
    <w:multiLevelType w:val="hybridMultilevel"/>
    <w:lvl w:ilvl="0">
      <w:lvlJc w:val="left"/>
      <w:lvlText w:val="%1."/>
      <w:numFmt w:val="lowerLetter"/>
      <w:start w:val="1"/>
    </w:lvl>
  </w:abstractNum>
  <w:abstractNum w:abstractNumId="172">
    <w:nsid w:val="64212B8C"/>
    <w:multiLevelType w:val="hybridMultilevel"/>
    <w:lvl w:ilvl="0">
      <w:lvlJc w:val="left"/>
      <w:lvlText w:val="%1."/>
      <w:numFmt w:val="lowerLetter"/>
      <w:start w:val="3"/>
    </w:lvl>
  </w:abstractNum>
  <w:abstractNum w:abstractNumId="173">
    <w:nsid w:val="5C17530C"/>
    <w:multiLevelType w:val="hybridMultilevel"/>
    <w:lvl w:ilvl="0">
      <w:lvlJc w:val="left"/>
      <w:lvlText w:val="%1."/>
      <w:numFmt w:val="lowerLetter"/>
      <w:start w:val="4"/>
    </w:lvl>
  </w:abstractNum>
  <w:abstractNum w:abstractNumId="174">
    <w:nsid w:val="19A52566"/>
    <w:multiLevelType w:val="hybridMultilevel"/>
    <w:lvl w:ilvl="0">
      <w:lvlJc w:val="left"/>
      <w:lvlText w:val="%1."/>
      <w:numFmt w:val="lowerLetter"/>
      <w:start w:val="1"/>
    </w:lvl>
  </w:abstractNum>
  <w:abstractNum w:abstractNumId="175">
    <w:nsid w:val="335A1DF1"/>
    <w:multiLevelType w:val="hybridMultilevel"/>
    <w:lvl w:ilvl="0">
      <w:lvlJc w:val="left"/>
      <w:lvlText w:val="%1."/>
      <w:numFmt w:val="lowerLetter"/>
      <w:start w:val="2"/>
    </w:lvl>
  </w:abstractNum>
  <w:abstractNum w:abstractNumId="176">
    <w:nsid w:val="28677B7C"/>
    <w:multiLevelType w:val="hybridMultilevel"/>
    <w:lvl w:ilvl="0">
      <w:lvlJc w:val="left"/>
      <w:lvlText w:val="%1."/>
      <w:numFmt w:val="lowerLetter"/>
      <w:start w:val="3"/>
    </w:lvl>
  </w:abstractNum>
  <w:abstractNum w:abstractNumId="177">
    <w:nsid w:val="378D97C0"/>
    <w:multiLevelType w:val="hybridMultilevel"/>
    <w:lvl w:ilvl="0">
      <w:lvlJc w:val="left"/>
      <w:lvlText w:val="%1."/>
      <w:numFmt w:val="lowerLetter"/>
      <w:start w:val="4"/>
    </w:lvl>
  </w:abstractNum>
  <w:abstractNum w:abstractNumId="178">
    <w:nsid w:val="1D91467C"/>
    <w:multiLevelType w:val="hybridMultilevel"/>
    <w:lvl w:ilvl="0">
      <w:lvlJc w:val="left"/>
      <w:lvlText w:val="(*)"/>
      <w:numFmt w:val="bullet"/>
      <w:start w:val="1"/>
    </w:lvl>
  </w:abstractNum>
  <w:abstractNum w:abstractNumId="179">
    <w:nsid w:val="316032BB"/>
    <w:multiLevelType w:val="hybridMultilevel"/>
    <w:lvl w:ilvl="0">
      <w:lvlJc w:val="left"/>
      <w:lvlText w:val="(**)"/>
      <w:numFmt w:val="bullet"/>
      <w:start w:val="1"/>
    </w:lvl>
  </w:abstractNum>
  <w:abstractNum w:abstractNumId="180">
    <w:nsid w:val="44344C22"/>
    <w:multiLevelType w:val="hybridMultilevel"/>
    <w:lvl w:ilvl="0">
      <w:lvlJc w:val="left"/>
      <w:lvlText w:val="%1."/>
      <w:numFmt w:val="lowerLetter"/>
      <w:start w:val="1"/>
    </w:lvl>
  </w:abstractNum>
  <w:abstractNum w:abstractNumId="181">
    <w:nsid w:val="13CDFCFC"/>
    <w:multiLevelType w:val="hybridMultilevel"/>
    <w:lvl w:ilvl="0">
      <w:lvlJc w:val="left"/>
      <w:lvlText w:val="%1."/>
      <w:numFmt w:val="lowerLetter"/>
      <w:start w:val="3"/>
    </w:lvl>
  </w:abstractNum>
  <w:abstractNum w:abstractNumId="182">
    <w:nsid w:val="471745E4"/>
    <w:multiLevelType w:val="hybridMultilevel"/>
    <w:lvl w:ilvl="0">
      <w:lvlJc w:val="left"/>
      <w:lvlText w:val="%1."/>
      <w:numFmt w:val="lowerLetter"/>
      <w:start w:val="4"/>
    </w:lvl>
  </w:abstractNum>
  <w:abstractNum w:abstractNumId="183">
    <w:nsid w:val="1DDBC66"/>
    <w:multiLevelType w:val="hybridMultilevel"/>
    <w:lvl w:ilvl="0">
      <w:lvlJc w:val="left"/>
      <w:lvlText w:val="%1."/>
      <w:numFmt w:val="lowerLetter"/>
      <w:start w:val="6"/>
    </w:lvl>
  </w:abstractNum>
  <w:abstractNum w:abstractNumId="184">
    <w:nsid w:val="30AADFDA"/>
    <w:multiLevelType w:val="hybridMultilevel"/>
    <w:lvl w:ilvl="0">
      <w:lvlJc w:val="left"/>
      <w:lvlText w:val="%1."/>
      <w:numFmt w:val="lowerLetter"/>
      <w:start w:val="1"/>
    </w:lvl>
  </w:abstractNum>
  <w:abstractNum w:abstractNumId="185">
    <w:nsid w:val="30EADA61"/>
    <w:multiLevelType w:val="hybridMultilevel"/>
    <w:lvl w:ilvl="0">
      <w:lvlJc w:val="left"/>
      <w:lvlText w:val="%1."/>
      <w:numFmt w:val="lowerLetter"/>
      <w:start w:val="2"/>
    </w:lvl>
  </w:abstractNum>
  <w:abstractNum w:abstractNumId="186">
    <w:nsid w:val="27179C0B"/>
    <w:multiLevelType w:val="hybridMultilevel"/>
    <w:lvl w:ilvl="0">
      <w:lvlJc w:val="left"/>
      <w:lvlText w:val="%1."/>
      <w:numFmt w:val="lowerLetter"/>
      <w:start w:val="3"/>
    </w:lvl>
  </w:abstractNum>
  <w:abstractNum w:abstractNumId="187">
    <w:nsid w:val="5E636063"/>
    <w:multiLevelType w:val="hybridMultilevel"/>
    <w:lvl w:ilvl="0">
      <w:lvlJc w:val="left"/>
      <w:lvlText w:val="%1."/>
      <w:numFmt w:val="lowerLetter"/>
      <w:start w:val="5"/>
    </w:lvl>
  </w:abstractNum>
  <w:abstractNum w:abstractNumId="188">
    <w:nsid w:val="215641AF"/>
    <w:multiLevelType w:val="hybridMultilevel"/>
    <w:lvl w:ilvl="0">
      <w:lvlJc w:val="left"/>
      <w:lvlText w:val="%1."/>
      <w:numFmt w:val="lowerLetter"/>
      <w:start w:val="6"/>
    </w:lvl>
  </w:abstractNum>
  <w:abstractNum w:abstractNumId="189">
    <w:nsid w:val="53280662"/>
    <w:multiLevelType w:val="hybridMultilevel"/>
    <w:lvl w:ilvl="0">
      <w:lvlJc w:val="left"/>
      <w:lvlText w:val="%1."/>
      <w:numFmt w:val="lowerLetter"/>
      <w:start w:val="1"/>
    </w:lvl>
  </w:abstractNum>
  <w:abstractNum w:abstractNumId="190">
    <w:nsid w:val="46B24DBC"/>
    <w:multiLevelType w:val="hybridMultilevel"/>
    <w:lvl w:ilvl="0">
      <w:lvlJc w:val="left"/>
      <w:lvlText w:val="%1."/>
      <w:numFmt w:val="decimal"/>
      <w:start w:val="39"/>
    </w:lvl>
  </w:abstractNum>
  <w:abstractNum w:abstractNumId="191">
    <w:nsid w:val="75B52783"/>
    <w:multiLevelType w:val="hybridMultilevel"/>
    <w:lvl w:ilvl="0">
      <w:lvlJc w:val="left"/>
      <w:lvlText w:val="%1."/>
      <w:numFmt w:val="decimal"/>
      <w:start w:val="100"/>
    </w:lvl>
  </w:abstractNum>
  <w:abstractNum w:abstractNumId="192">
    <w:nsid w:val="57CE66B4"/>
    <w:multiLevelType w:val="hybridMultilevel"/>
    <w:lvl w:ilvl="0">
      <w:lvlJc w:val="left"/>
      <w:lvlText w:val="%1."/>
      <w:numFmt w:val="decimal"/>
      <w:start w:val="105"/>
    </w:lvl>
  </w:abstractNum>
  <w:abstractNum w:abstractNumId="193">
    <w:nsid w:val="67A70B69"/>
    <w:multiLevelType w:val="hybridMultilevel"/>
    <w:lvl w:ilvl="0">
      <w:lvlJc w:val="left"/>
      <w:lvlText w:val="%1."/>
      <w:numFmt w:val="decimal"/>
      <w:start w:val="106"/>
    </w:lvl>
  </w:abstractNum>
  <w:abstractNum w:abstractNumId="194">
    <w:nsid w:val="5953172F"/>
    <w:multiLevelType w:val="hybridMultilevel"/>
    <w:lvl w:ilvl="0">
      <w:lvlJc w:val="left"/>
      <w:lvlText w:val="106.%1."/>
      <w:numFmt w:val="decimal"/>
      <w:start w:val="1"/>
    </w:lvl>
  </w:abstractNum>
  <w:abstractNum w:abstractNumId="195">
    <w:nsid w:val="27EDFE3A"/>
    <w:multiLevelType w:val="hybridMultilevel"/>
    <w:lvl w:ilvl="0">
      <w:lvlJc w:val="left"/>
      <w:lvlText w:val="%1."/>
      <w:numFmt w:val="decimal"/>
      <w:start w:val="107"/>
    </w:lvl>
  </w:abstractNum>
  <w:abstractNum w:abstractNumId="196">
    <w:nsid w:val="52AC7DFF"/>
    <w:multiLevelType w:val="hybridMultilevel"/>
    <w:lvl w:ilvl="0">
      <w:lvlJc w:val="left"/>
      <w:lvlText w:val="%1."/>
      <w:numFmt w:val="decimal"/>
      <w:start w:val="111"/>
    </w:lvl>
  </w:abstractNum>
  <w:abstractNum w:abstractNumId="197">
    <w:nsid w:val="C4C3AF"/>
    <w:multiLevelType w:val="hybridMultilevel"/>
    <w:lvl w:ilvl="0">
      <w:lvlJc w:val="left"/>
      <w:lvlText w:val="%1."/>
      <w:numFmt w:val="decimal"/>
      <w:start w:val="113"/>
    </w:lvl>
  </w:abstractNum>
  <w:abstractNum w:abstractNumId="198">
    <w:nsid w:val="44380727"/>
    <w:multiLevelType w:val="hybridMultilevel"/>
    <w:lvl w:ilvl="0">
      <w:lvlJc w:val="left"/>
      <w:lvlText w:val="%1."/>
      <w:numFmt w:val="decimal"/>
      <w:start w:val="114"/>
    </w:lvl>
  </w:abstractNum>
  <w:abstractNum w:abstractNumId="199">
    <w:nsid w:val="6C053B16"/>
    <w:multiLevelType w:val="hybridMultilevel"/>
    <w:lvl w:ilvl="0">
      <w:lvlJc w:val="left"/>
      <w:lvlText w:val="%1."/>
      <w:numFmt w:val="decimal"/>
      <w:start w:val="115"/>
    </w:lvl>
  </w:abstractNum>
  <w:abstractNum w:abstractNumId="200">
    <w:nsid w:val="4F294393"/>
    <w:multiLevelType w:val="hybridMultilevel"/>
    <w:lvl w:ilvl="0">
      <w:lvlJc w:val="left"/>
      <w:lvlText w:val="%1."/>
      <w:numFmt w:val="decimal"/>
      <w:start w:val="117"/>
    </w:lvl>
  </w:abstractNum>
  <w:abstractNum w:abstractNumId="201">
    <w:nsid w:val="5243BFAC"/>
    <w:multiLevelType w:val="hybridMultilevel"/>
    <w:lvl w:ilvl="0">
      <w:lvlJc w:val="left"/>
      <w:lvlText w:val="%1."/>
      <w:numFmt w:val="decimal"/>
      <w:start w:val="123"/>
    </w:lvl>
  </w:abstractNum>
  <w:abstractNum w:abstractNumId="202">
    <w:nsid w:val="425EB207"/>
    <w:multiLevelType w:val="hybridMultilevel"/>
    <w:lvl w:ilvl="0">
      <w:lvlJc w:val="left"/>
      <w:lvlText w:val="%1."/>
      <w:numFmt w:val="decimal"/>
      <w:start w:val="125"/>
    </w:lvl>
  </w:abstractNum>
  <w:abstractNum w:abstractNumId="203">
    <w:nsid w:val="334A6F1F"/>
    <w:multiLevelType w:val="hybridMultilevel"/>
    <w:lvl w:ilvl="0">
      <w:lvlJc w:val="left"/>
      <w:lvlText w:val="%1."/>
      <w:numFmt w:val="decimal"/>
      <w:start w:val="126"/>
    </w:lvl>
  </w:abstractNum>
  <w:abstractNum w:abstractNumId="204">
    <w:nsid w:val="2E5B12B8"/>
    <w:multiLevelType w:val="hybridMultilevel"/>
    <w:lvl w:ilvl="0">
      <w:lvlJc w:val="left"/>
      <w:lvlText w:val="%1."/>
      <w:numFmt w:val="decimal"/>
      <w:start w:val="127"/>
    </w:lvl>
  </w:abstractNum>
  <w:abstractNum w:abstractNumId="205">
    <w:nsid w:val="5C03D76D"/>
    <w:multiLevelType w:val="hybridMultilevel"/>
    <w:lvl w:ilvl="0">
      <w:lvlJc w:val="left"/>
      <w:lvlText w:val="%1."/>
      <w:numFmt w:val="decimal"/>
      <w:start w:val="129"/>
    </w:lvl>
  </w:abstractNum>
  <w:abstractNum w:abstractNumId="206">
    <w:nsid w:val="66A48D11"/>
    <w:multiLevelType w:val="hybridMultilevel"/>
    <w:lvl w:ilvl="0">
      <w:lvlJc w:val="left"/>
      <w:lvlText w:val="%1."/>
      <w:numFmt w:val="decimal"/>
      <w:start w:val="130"/>
    </w:lvl>
  </w:abstractNum>
  <w:abstractNum w:abstractNumId="207">
    <w:nsid w:val="56C28E34"/>
    <w:multiLevelType w:val="hybridMultilevel"/>
    <w:lvl w:ilvl="0">
      <w:lvlJc w:val="left"/>
      <w:lvlText w:val="%1."/>
      <w:numFmt w:val="decimal"/>
      <w:start w:val="132"/>
    </w:lvl>
  </w:abstractNum>
  <w:abstractNum w:abstractNumId="208">
    <w:nsid w:val="13916F2D"/>
    <w:multiLevelType w:val="hybridMultilevel"/>
    <w:lvl w:ilvl="0">
      <w:lvlJc w:val="left"/>
      <w:lvlText w:val="%1."/>
      <w:numFmt w:val="decimal"/>
      <w:start w:val="133"/>
    </w:lvl>
  </w:abstractNum>
  <w:abstractNum w:abstractNumId="209">
    <w:nsid w:val="435D38D"/>
    <w:multiLevelType w:val="hybridMultilevel"/>
    <w:lvl w:ilvl="0">
      <w:lvlJc w:val="left"/>
      <w:lvlText w:val="%1."/>
      <w:numFmt w:val="decimal"/>
      <w:start w:val="134"/>
    </w:lvl>
  </w:abstractNum>
  <w:abstractNum w:abstractNumId="210">
    <w:nsid w:val="822C0EF"/>
    <w:multiLevelType w:val="hybridMultilevel"/>
    <w:lvl w:ilvl="0">
      <w:lvlJc w:val="left"/>
      <w:lvlText w:val="%1."/>
      <w:numFmt w:val="decimal"/>
      <w:start w:val="135"/>
    </w:lvl>
  </w:abstractNum>
  <w:abstractNum w:abstractNumId="211">
    <w:nsid w:val="57C5BB4F"/>
    <w:multiLevelType w:val="hybridMultilevel"/>
    <w:lvl w:ilvl="0">
      <w:lvlJc w:val="left"/>
      <w:lvlText w:val="%1."/>
      <w:numFmt w:val="decimal"/>
      <w:start w:val="137"/>
    </w:lvl>
  </w:abstractNum>
  <w:abstractNum w:abstractNumId="212">
    <w:nsid w:val="1803D089"/>
    <w:multiLevelType w:val="hybridMultilevel"/>
    <w:lvl w:ilvl="0">
      <w:lvlJc w:val="left"/>
      <w:lvlText w:val="%1."/>
      <w:numFmt w:val="decimal"/>
      <w:start w:val="139"/>
    </w:lvl>
  </w:abstractNum>
  <w:abstractNum w:abstractNumId="213">
    <w:nsid w:val="4F3A06D4"/>
    <w:multiLevelType w:val="hybridMultilevel"/>
    <w:lvl w:ilvl="0">
      <w:lvlJc w:val="left"/>
      <w:lvlText w:val="%1."/>
      <w:numFmt w:val="decimal"/>
      <w:start w:val="141"/>
    </w:lvl>
  </w:abstractNum>
  <w:abstractNum w:abstractNumId="214">
    <w:nsid w:val="59A377B6"/>
    <w:multiLevelType w:val="hybridMultilevel"/>
    <w:lvl w:ilvl="0">
      <w:lvlJc w:val="left"/>
      <w:lvlText w:val="%1."/>
      <w:numFmt w:val="decimal"/>
      <w:start w:val="144"/>
    </w:lvl>
  </w:abstractNum>
  <w:abstractNum w:abstractNumId="215">
    <w:nsid w:val="48AEB063"/>
    <w:multiLevelType w:val="hybridMultilevel"/>
    <w:lvl w:ilvl="0">
      <w:lvlJc w:val="left"/>
      <w:lvlText w:val="%1."/>
      <w:numFmt w:val="decimal"/>
      <w:start w:val="145"/>
    </w:lvl>
  </w:abstractNum>
  <w:abstractNum w:abstractNumId="216">
    <w:nsid w:val="24E135"/>
    <w:multiLevelType w:val="hybridMultilevel"/>
    <w:lvl w:ilvl="0">
      <w:lvlJc w:val="left"/>
      <w:lvlText w:val="%1."/>
      <w:numFmt w:val="decimal"/>
      <w:start w:val="147"/>
    </w:lvl>
  </w:abstractNum>
  <w:abstractNum w:abstractNumId="217">
    <w:nsid w:val="BB13C1"/>
    <w:multiLevelType w:val="hybridMultilevel"/>
    <w:lvl w:ilvl="0">
      <w:lvlJc w:val="left"/>
      <w:lvlText w:val="%1."/>
      <w:numFmt w:val="decimal"/>
      <w:start w:val="148"/>
    </w:lvl>
  </w:abstractNum>
  <w:abstractNum w:abstractNumId="218">
    <w:nsid w:val="271210C7"/>
    <w:multiLevelType w:val="hybridMultilevel"/>
    <w:lvl w:ilvl="0">
      <w:lvlJc w:val="left"/>
      <w:lvlText w:val="%1."/>
      <w:numFmt w:val="decimal"/>
      <w:start w:val="149"/>
    </w:lvl>
  </w:abstractNum>
  <w:abstractNum w:abstractNumId="219">
    <w:nsid w:val="217B22E4"/>
    <w:multiLevelType w:val="hybridMultilevel"/>
    <w:lvl w:ilvl="0">
      <w:lvlJc w:val="left"/>
      <w:lvlText w:val="%1."/>
      <w:numFmt w:val="decimal"/>
      <w:start w:val="151"/>
    </w:lvl>
  </w:abstractNum>
  <w:abstractNum w:abstractNumId="220">
    <w:nsid w:val="53E31A24"/>
    <w:multiLevelType w:val="hybridMultilevel"/>
    <w:lvl w:ilvl="0">
      <w:lvlJc w:val="left"/>
      <w:lvlText w:val="%1."/>
      <w:numFmt w:val="decimal"/>
      <w:start w:val="154"/>
    </w:lvl>
  </w:abstractNum>
  <w:abstractNum w:abstractNumId="221">
    <w:nsid w:val="6DC45E83"/>
    <w:multiLevelType w:val="hybridMultilevel"/>
    <w:lvl w:ilvl="0">
      <w:lvlJc w:val="left"/>
      <w:lvlText w:val="%1."/>
      <w:numFmt w:val="decimal"/>
      <w:start w:val="161"/>
    </w:lvl>
  </w:abstractNum>
  <w:abstractNum w:abstractNumId="222">
    <w:nsid w:val="17304A67"/>
    <w:multiLevelType w:val="hybridMultilevel"/>
    <w:lvl w:ilvl="0">
      <w:lvlJc w:val="left"/>
      <w:lvlText w:val="%1."/>
      <w:numFmt w:val="decimal"/>
      <w:start w:val="162"/>
    </w:lvl>
  </w:abstractNum>
  <w:abstractNum w:abstractNumId="223">
    <w:nsid w:val="2BB180D8"/>
    <w:multiLevelType w:val="hybridMultilevel"/>
    <w:lvl w:ilvl="0">
      <w:lvlJc w:val="left"/>
      <w:lvlText w:val="%1."/>
      <w:numFmt w:val="decimal"/>
      <w:start w:val="163"/>
    </w:lvl>
  </w:abstractNum>
  <w:abstractNum w:abstractNumId="224">
    <w:nsid w:val="556B69ED"/>
    <w:multiLevelType w:val="hybridMultilevel"/>
    <w:lvl w:ilvl="0">
      <w:lvlJc w:val="left"/>
      <w:lvlText w:val="%1."/>
      <w:numFmt w:val="decimal"/>
      <w:start w:val="164"/>
    </w:lvl>
  </w:abstractNum>
  <w:abstractNum w:abstractNumId="225">
    <w:nsid w:val="70836196"/>
    <w:multiLevelType w:val="hybridMultilevel"/>
    <w:lvl w:ilvl="0">
      <w:lvlJc w:val="left"/>
      <w:lvlText w:val="%1."/>
      <w:numFmt w:val="decimal"/>
      <w:start w:val="165"/>
    </w:lvl>
  </w:abstractNum>
  <w:abstractNum w:abstractNumId="226">
    <w:nsid w:val="539F7F12"/>
    <w:multiLevelType w:val="hybridMultilevel"/>
    <w:lvl w:ilvl="0">
      <w:lvlJc w:val="left"/>
      <w:lvlText w:val="%1."/>
      <w:numFmt w:val="decimal"/>
      <w:start w:val="1"/>
    </w:lvl>
  </w:abstractNum>
  <w:abstractNum w:abstractNumId="227">
    <w:nsid w:val="2817E7EC"/>
    <w:multiLevelType w:val="hybridMultilevel"/>
    <w:lvl w:ilvl="0">
      <w:lvlJc w:val="left"/>
      <w:lvlText w:val="(%1)"/>
      <w:numFmt w:val="lowerRoman"/>
      <w:start w:val="1"/>
    </w:lvl>
  </w:abstractNum>
  <w:abstractNum w:abstractNumId="228">
    <w:nsid w:val="71482545"/>
    <w:multiLevelType w:val="hybridMultilevel"/>
    <w:lvl w:ilvl="0">
      <w:lvlJc w:val="left"/>
      <w:lvlText w:val="%1."/>
      <w:numFmt w:val="decimal"/>
      <w:start w:val="2"/>
    </w:lvl>
  </w:abstractNum>
  <w:abstractNum w:abstractNumId="229">
    <w:nsid w:val="17D78639"/>
    <w:multiLevelType w:val="hybridMultilevel"/>
    <w:lvl w:ilvl="0">
      <w:lvlJc w:val="left"/>
      <w:lvlText w:val="(%1)"/>
      <w:numFmt w:val="lowerRoman"/>
      <w:start w:val="1"/>
    </w:lvl>
    <w:lvl w:ilvl="1">
      <w:lvlJc w:val="left"/>
      <w:lvlText w:val="-"/>
      <w:numFmt w:val="bullet"/>
      <w:start w:val="1"/>
    </w:lvl>
  </w:abstractNum>
  <w:abstractNum w:abstractNumId="230">
    <w:nsid w:val="141D2302"/>
    <w:multiLevelType w:val="hybridMultilevel"/>
    <w:lvl w:ilvl="0">
      <w:lvlJc w:val="left"/>
      <w:lvlText w:val="(%1)"/>
      <w:numFmt w:val="lowerRoman"/>
      <w:start w:val="13"/>
    </w:lvl>
  </w:abstractNum>
  <w:abstractNum w:abstractNumId="231">
    <w:nsid w:val="407168D8"/>
    <w:multiLevelType w:val="hybridMultilevel"/>
    <w:lvl w:ilvl="0">
      <w:lvlJc w:val="left"/>
      <w:lvlText w:val="%1."/>
      <w:numFmt w:val="decimal"/>
      <w:start w:val="4"/>
    </w:lvl>
  </w:abstractNum>
  <w:abstractNum w:abstractNumId="232">
    <w:nsid w:val="6A1B45E5"/>
    <w:multiLevelType w:val="hybridMultilevel"/>
    <w:lvl w:ilvl="0">
      <w:lvlJc w:val="left"/>
      <w:lvlText w:val="%1."/>
      <w:numFmt w:val="decimal"/>
      <w:start w:val="5"/>
    </w:lvl>
  </w:abstractNum>
  <w:abstractNum w:abstractNumId="233">
    <w:nsid w:val="567BD50A"/>
    <w:multiLevelType w:val="hybridMultilevel"/>
    <w:lvl w:ilvl="0">
      <w:lvlJc w:val="left"/>
      <w:lvlText w:val="%1."/>
      <w:numFmt w:val="decimal"/>
      <w:start w:val="6"/>
    </w:lvl>
  </w:abstractNum>
  <w:abstractNum w:abstractNumId="234">
    <w:nsid w:val="73BBD7F8"/>
    <w:multiLevelType w:val="hybridMultilevel"/>
    <w:lvl w:ilvl="0">
      <w:lvlJc w:val="left"/>
      <w:lvlText w:val="(%1)"/>
      <w:numFmt w:val="lowerRoman"/>
      <w:start w:val="2"/>
    </w:lvl>
  </w:abstractNum>
  <w:abstractNum w:abstractNumId="235">
    <w:nsid w:val="1876589D"/>
    <w:multiLevelType w:val="hybridMultilevel"/>
    <w:lvl w:ilvl="0">
      <w:lvlJc w:val="left"/>
      <w:lvlText w:val="(%1)"/>
      <w:numFmt w:val="decimal"/>
      <w:start w:val="3"/>
    </w:lvl>
    <w:lvl w:ilvl="1">
      <w:lvlJc w:val="left"/>
      <w:lvlText w:val="-"/>
      <w:numFmt w:val="bullet"/>
      <w:start w:val="1"/>
    </w:lvl>
  </w:abstractNum>
  <w:abstractNum w:abstractNumId="236">
    <w:nsid w:val="327FAC77"/>
    <w:multiLevelType w:val="hybridMultilevel"/>
    <w:lvl w:ilvl="0">
      <w:lvlJc w:val="left"/>
      <w:lvlText w:val="(%1)"/>
      <w:numFmt w:val="lowerRoman"/>
      <w:start w:val="1"/>
    </w:lvl>
  </w:abstractNum>
  <w:abstractNum w:abstractNumId="237">
    <w:nsid w:val="5A606509"/>
    <w:multiLevelType w:val="hybridMultilevel"/>
    <w:lvl w:ilvl="0">
      <w:lvlJc w:val="left"/>
      <w:lvlText w:val="%1."/>
      <w:numFmt w:val="decimal"/>
      <w:start w:val="7"/>
    </w:lvl>
  </w:abstractNum>
  <w:abstractNum w:abstractNumId="238">
    <w:nsid w:val="6F38E6D1"/>
    <w:multiLevelType w:val="hybridMultilevel"/>
    <w:lvl w:ilvl="0">
      <w:lvlJc w:val="left"/>
      <w:lvlText w:val="%1."/>
      <w:numFmt w:val="decimal"/>
      <w:start w:val="8"/>
    </w:lvl>
  </w:abstractNum>
  <w:abstractNum w:abstractNumId="239">
    <w:nsid w:val="46111BA5"/>
    <w:multiLevelType w:val="hybridMultilevel"/>
    <w:lvl w:ilvl="0">
      <w:lvlJc w:val="left"/>
      <w:lvlText w:val="%1."/>
      <w:numFmt w:val="decimal"/>
      <w:start w:val="9"/>
    </w:lvl>
  </w:abstractNum>
  <w:abstractNum w:abstractNumId="240">
    <w:nsid w:val="5E963896"/>
    <w:multiLevelType w:val="hybridMultilevel"/>
    <w:lvl w:ilvl="0">
      <w:lvlJc w:val="left"/>
      <w:lvlText w:val="%1."/>
      <w:numFmt w:val="decimal"/>
      <w:start w:val="10"/>
    </w:lvl>
  </w:abstractNum>
  <w:abstractNum w:abstractNumId="241">
    <w:nsid w:val="775BA7C1"/>
    <w:multiLevelType w:val="hybridMultilevel"/>
    <w:lvl w:ilvl="0">
      <w:lvlJc w:val="left"/>
      <w:lvlText w:val="%1."/>
      <w:numFmt w:val="decimal"/>
      <w:start w:val="11"/>
    </w:lvl>
  </w:abstractNum>
  <w:abstractNum w:abstractNumId="242">
    <w:nsid w:val="1DD6D6F4"/>
    <w:multiLevelType w:val="hybridMultilevel"/>
    <w:lvl w:ilvl="0">
      <w:lvlJc w:val="left"/>
      <w:lvlText w:val="%1."/>
      <w:numFmt w:val="decimal"/>
      <w:start w:val="12"/>
    </w:lvl>
  </w:abstractNum>
  <w:abstractNum w:abstractNumId="243">
    <w:nsid w:val="769A091F"/>
    <w:multiLevelType w:val="hybridMultilevel"/>
    <w:lvl w:ilvl="0">
      <w:lvlJc w:val="left"/>
      <w:lvlText w:val="%1."/>
      <w:numFmt w:val="decimal"/>
      <w:start w:val="13"/>
    </w:lvl>
  </w:abstractNum>
  <w:abstractNum w:abstractNumId="244">
    <w:nsid w:val="4695AE95"/>
    <w:multiLevelType w:val="hybridMultilevel"/>
    <w:lvl w:ilvl="0">
      <w:lvlJc w:val="left"/>
      <w:lvlText w:val="%1."/>
      <w:numFmt w:val="decimal"/>
      <w:start w:val="14"/>
    </w:lvl>
  </w:abstractNum>
  <w:abstractNum w:abstractNumId="245">
    <w:nsid w:val="777A4EAA"/>
    <w:multiLevelType w:val="hybridMultilevel"/>
    <w:lvl w:ilvl="0">
      <w:lvlJc w:val="left"/>
      <w:lvlText w:val="%1."/>
      <w:numFmt w:val="decimal"/>
      <w:start w:val="15"/>
    </w:lvl>
  </w:abstractNum>
  <w:abstractNum w:abstractNumId="246">
    <w:nsid w:val="3F48B982"/>
    <w:multiLevelType w:val="hybridMultilevel"/>
    <w:lvl w:ilvl="0">
      <w:lvlJc w:val="left"/>
      <w:lvlText w:val="%1."/>
      <w:numFmt w:val="decimal"/>
      <w:start w:val="16"/>
    </w:lvl>
  </w:abstractNum>
  <w:abstractNum w:abstractNumId="247">
    <w:nsid w:val="46BA8FCA"/>
    <w:multiLevelType w:val="hybridMultilevel"/>
    <w:lvl w:ilvl="0">
      <w:lvlJc w:val="left"/>
      <w:lvlText w:val="%1."/>
      <w:numFmt w:val="decimal"/>
      <w:start w:val="17"/>
    </w:lvl>
  </w:abstractNum>
  <w:abstractNum w:abstractNumId="248">
    <w:nsid w:val="7835626C"/>
    <w:multiLevelType w:val="hybridMultilevel"/>
    <w:lvl w:ilvl="0">
      <w:lvlJc w:val="left"/>
      <w:lvlText w:val="%1."/>
      <w:numFmt w:val="decimal"/>
      <w:start w:val="18"/>
    </w:lvl>
  </w:abstractNum>
  <w:abstractNum w:abstractNumId="249">
    <w:nsid w:val="665ACA49"/>
    <w:multiLevelType w:val="hybridMultilevel"/>
    <w:lvl w:ilvl="0">
      <w:lvlJc w:val="left"/>
      <w:lvlText w:val="%1."/>
      <w:numFmt w:val="decimal"/>
      <w:start w:val="19"/>
    </w:lvl>
  </w:abstractNum>
  <w:abstractNum w:abstractNumId="250">
    <w:nsid w:val="6835B2AE"/>
    <w:multiLevelType w:val="hybridMultilevel"/>
    <w:lvl w:ilvl="0">
      <w:lvlJc w:val="left"/>
      <w:lvlText w:val="%1."/>
      <w:numFmt w:val="decimal"/>
      <w:start w:val="20"/>
    </w:lvl>
  </w:abstractNum>
  <w:abstractNum w:abstractNumId="251">
    <w:nsid w:val="4C187C90"/>
    <w:multiLevelType w:val="hybridMultilevel"/>
    <w:lvl w:ilvl="0">
      <w:lvlJc w:val="left"/>
      <w:lvlText w:val="%1."/>
      <w:numFmt w:val="decimal"/>
      <w:start w:val="21"/>
    </w:lvl>
  </w:abstractNum>
  <w:abstractNum w:abstractNumId="252">
    <w:nsid w:val="541F28CD"/>
    <w:multiLevelType w:val="hybridMultilevel"/>
    <w:lvl w:ilvl="0">
      <w:lvlJc w:val="left"/>
      <w:lvlText w:val="%1."/>
      <w:numFmt w:val="decimal"/>
      <w:start w:val="22"/>
    </w:lvl>
  </w:abstractNum>
  <w:abstractNum w:abstractNumId="253">
    <w:nsid w:val="7F65FD16"/>
    <w:multiLevelType w:val="hybridMultilevel"/>
    <w:lvl w:ilvl="0">
      <w:lvlJc w:val="left"/>
      <w:lvlText w:val="%1."/>
      <w:numFmt w:val="decimal"/>
      <w:start w:val="23"/>
    </w:lvl>
  </w:abstractNum>
  <w:abstractNum w:abstractNumId="254">
    <w:nsid w:val="77C9FD68"/>
    <w:multiLevelType w:val="hybridMultilevel"/>
    <w:lvl w:ilvl="0">
      <w:lvlJc w:val="left"/>
      <w:lvlText w:val="%1."/>
      <w:numFmt w:val="decimal"/>
      <w:start w:val="24"/>
    </w:lvl>
  </w:abstractNum>
  <w:abstractNum w:abstractNumId="255">
    <w:nsid w:val="298A92BA"/>
    <w:multiLevelType w:val="hybridMultilevel"/>
    <w:lvl w:ilvl="0">
      <w:lvlJc w:val="left"/>
      <w:lvlText w:val="%1."/>
      <w:numFmt w:val="decimal"/>
      <w:start w:val="25"/>
    </w:lvl>
  </w:abstractNum>
  <w:abstractNum w:abstractNumId="256">
    <w:nsid w:val="6FE95EAC"/>
    <w:multiLevelType w:val="hybridMultilevel"/>
    <w:lvl w:ilvl="0">
      <w:lvlJc w:val="left"/>
      <w:lvlText w:val="%1."/>
      <w:numFmt w:val="decimal"/>
      <w:start w:val="26"/>
    </w:lvl>
  </w:abstractNum>
  <w:abstractNum w:abstractNumId="257">
    <w:nsid w:val="4B697C7A"/>
    <w:multiLevelType w:val="hybridMultilevel"/>
    <w:lvl w:ilvl="0">
      <w:lvlJc w:val="left"/>
      <w:lvlText w:val="%1."/>
      <w:numFmt w:val="decimal"/>
      <w:start w:val="27"/>
    </w:lvl>
  </w:abstractNum>
  <w:abstractNum w:abstractNumId="258">
    <w:nsid w:val="51A27AA6"/>
    <w:multiLevelType w:val="hybridMultilevel"/>
    <w:lvl w:ilvl="0">
      <w:lvlJc w:val="left"/>
      <w:lvlText w:val="%1."/>
      <w:numFmt w:val="decimal"/>
      <w:start w:val="28"/>
    </w:lvl>
  </w:abstractNum>
  <w:abstractNum w:abstractNumId="259">
    <w:nsid w:val="613183F2"/>
    <w:multiLevelType w:val="hybridMultilevel"/>
    <w:lvl w:ilvl="0">
      <w:lvlJc w:val="left"/>
      <w:lvlText w:val="%1."/>
      <w:numFmt w:val="decimal"/>
      <w:start w:val="1"/>
    </w:lvl>
  </w:abstractNum>
  <w:abstractNum w:abstractNumId="260">
    <w:nsid w:val="634102B4"/>
    <w:multiLevelType w:val="hybridMultilevel"/>
    <w:lvl w:ilvl="0">
      <w:lvlJc w:val="left"/>
      <w:lvlText w:val="%1)"/>
      <w:numFmt w:val="lowerLetter"/>
      <w:start w:val="1"/>
    </w:lvl>
  </w:abstractNum>
  <w:abstractNum w:abstractNumId="261">
    <w:nsid w:val="65BF9DA8"/>
    <w:multiLevelType w:val="hybridMultilevel"/>
    <w:lvl w:ilvl="0">
      <w:lvlJc w:val="left"/>
      <w:lvlText w:val="%1."/>
      <w:numFmt w:val="decimal"/>
      <w:start w:val="5"/>
    </w:lvl>
  </w:abstractNum>
  <w:abstractNum w:abstractNumId="262">
    <w:nsid w:val="21A2ECCA"/>
    <w:multiLevelType w:val="hybridMultilevel"/>
    <w:lvl w:ilvl="0">
      <w:lvlJc w:val="left"/>
      <w:lvlText w:val="%1)"/>
      <w:numFmt w:val="lowerLetter"/>
      <w:start w:val="1"/>
    </w:lvl>
  </w:abstractNum>
  <w:abstractNum w:abstractNumId="263">
    <w:nsid w:val="4D5C4899"/>
    <w:multiLevelType w:val="hybridMultilevel"/>
    <w:lvl w:ilvl="0">
      <w:lvlJc w:val="left"/>
      <w:lvlText w:val="%1."/>
      <w:numFmt w:val="decimal"/>
      <w:start w:val="2"/>
    </w:lvl>
  </w:abstractNum>
  <w:abstractNum w:abstractNumId="264">
    <w:nsid w:val="3C3B72B2"/>
    <w:multiLevelType w:val="hybridMultilevel"/>
    <w:lvl w:ilvl="0">
      <w:lvlJc w:val="left"/>
      <w:lvlText w:val="%1)"/>
      <w:numFmt w:val="lowerLetter"/>
      <w:start w:val="1"/>
    </w:lvl>
  </w:abstractNum>
  <w:abstractNum w:abstractNumId="265">
    <w:nsid w:val="155EC4C2"/>
    <w:multiLevelType w:val="hybridMultilevel"/>
    <w:lvl w:ilvl="0">
      <w:lvlJc w:val="left"/>
      <w:lvlText w:val="%1."/>
      <w:numFmt w:val="decimal"/>
      <w:start w:val="5"/>
    </w:lvl>
  </w:abstractNum>
  <w:abstractNum w:abstractNumId="266">
    <w:nsid w:val="65D2A137"/>
    <w:multiLevelType w:val="hybridMultilevel"/>
    <w:lvl w:ilvl="0">
      <w:lvlJc w:val="left"/>
      <w:lvlText w:val="%1)"/>
      <w:numFmt w:val="lowerLetter"/>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jpe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jpeg"/><Relationship Id="rId166" Type="http://schemas.openxmlformats.org/officeDocument/2006/relationships/hyperlink" Target="http://www.sec.gov/Archives/edgar/data/1201935/000101915519000029/brainswayformofreceipt.htm" TargetMode="External"/><Relationship Id="rId167" Type="http://schemas.openxmlformats.org/officeDocument/2006/relationships/hyperlink" Target="https://www.sec.gov/Archives/edgar/data/1505065/000121390020007056/f20f2019ex2-3_brainsway.htm" TargetMode="External"/><Relationship Id="rId168" Type="http://schemas.openxmlformats.org/officeDocument/2006/relationships/hyperlink" Target="https://www.sec.gov/Archives/edgar/data/1505065/000121390020007056/f20f2019ex4-2_brainsway.htm" TargetMode="External"/><Relationship Id="rId169" Type="http://schemas.openxmlformats.org/officeDocument/2006/relationships/hyperlink" Target="https://www.sec.gov/Archives/edgar/data/1505065/000121390020007056/f20f2019ex4-3_brainsway.htm" TargetMode="External"/><Relationship Id="rId170" Type="http://schemas.openxmlformats.org/officeDocument/2006/relationships/hyperlink" Target="http://www.sec.gov/Archives/edgar/data/1505065/000104746919000119/a2237510zex-10_4.htm" TargetMode="External"/><Relationship Id="rId171" Type="http://schemas.openxmlformats.org/officeDocument/2006/relationships/hyperlink" Target="https://www.sec.gov/Archives/edgar/data/1505065/000121390020007056/f20f2019ex4-5_brainsway.htm" TargetMode="External"/><Relationship Id="rId172" Type="http://schemas.openxmlformats.org/officeDocument/2006/relationships/hyperlink" Target="https://www.sec.gov/Archives/edgar/data/1505065/000121390020007056/f20f2019ex4-6_brainsway.htm" TargetMode="External"/><Relationship Id="rId173" Type="http://schemas.openxmlformats.org/officeDocument/2006/relationships/hyperlink" Target="http://www.sec.gov/Archives/edgar/data/1505065/000104746919000119/a2237510zex-10_7.htm" TargetMode="External"/><Relationship Id="rId174" Type="http://schemas.openxmlformats.org/officeDocument/2006/relationships/hyperlink" Target="http://www.sec.gov/Archives/edgar/data/1505065/000104746919000119/a2237510zex-10_8.htm" TargetMode="External"/><Relationship Id="rId175" Type="http://schemas.openxmlformats.org/officeDocument/2006/relationships/hyperlink" Target="http://www.sec.gov/Archives/edgar/data/1505065/000104746919000119/a2237510zex-10_9.htm" TargetMode="External"/><Relationship Id="rId176" Type="http://schemas.openxmlformats.org/officeDocument/2006/relationships/hyperlink" Target="http://www.sec.gov/Archives/edgar/data/1505065/000104746919000119/a2237510zex-10_10.htm" TargetMode="External"/><Relationship Id="rId177" Type="http://schemas.openxmlformats.org/officeDocument/2006/relationships/hyperlink" Target="http://www.sec.gov/Archives/edgar/data/1505065/000104746919000119/a2237510zex-10_11.htm" TargetMode="External"/><Relationship Id="rId178" Type="http://schemas.openxmlformats.org/officeDocument/2006/relationships/hyperlink" Target="http://www.sec.gov/Archives/edgar/data/1505065/000104746919000119/a2237510zex-10_12.htm" TargetMode="External"/><Relationship Id="rId179" Type="http://schemas.openxmlformats.org/officeDocument/2006/relationships/hyperlink" Target="http://www.sec.gov/Archives/edgar/data/1505065/000104746919000119/a2237510zex-10_13.htm" TargetMode="External"/><Relationship Id="rId180" Type="http://schemas.openxmlformats.org/officeDocument/2006/relationships/hyperlink" Target="http://www.sec.gov/Archives/edgar/data/1505065/000104746919000119/a2237510zex-10_14.htm" TargetMode="External"/><Relationship Id="rId181" Type="http://schemas.openxmlformats.org/officeDocument/2006/relationships/hyperlink" Target="http://www.sec.gov/Archives/edgar/data/1505065/000104746919000119/a2237510zex-10_15.htm" TargetMode="External"/><Relationship Id="rId182" Type="http://schemas.openxmlformats.org/officeDocument/2006/relationships/hyperlink" Target="http://www.sec.gov/Archives/edgar/data/1505065/000104746919000119/a2237510zex-10_16.htm" TargetMode="External"/><Relationship Id="rId183" Type="http://schemas.openxmlformats.org/officeDocument/2006/relationships/hyperlink" Target="http://www.sec.gov/Archives/edgar/data/1505065/000104746919000119/a223751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2021-04-19T15:29:37Z</dcterms:created>
  <dcterms:modified xsi:type="dcterms:W3CDTF">2021-04-19T15:29:37Z</dcterms:modified>
</cp:coreProperties>
</file>