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156" w:type="dxa"/>
        <w:jc w:val="left"/>
        <w:tblInd w:w="0" w:type="dxa"/>
        <w:tblLayout w:type="fixed"/>
        <w:tblCellMar>
          <w:top w:w="28" w:type="dxa"/>
          <w:left w:w="28" w:type="dxa"/>
          <w:bottom w:w="28" w:type="dxa"/>
          <w:right w:w="28" w:type="dxa"/>
        </w:tblCellMar>
      </w:tblPr>
      <w:tblGrid>
        <w:gridCol w:w="10156"/>
      </w:tblGrid>
      <w:tr>
        <w:trPr/>
        <w:tc>
          <w:tcPr>
            <w:tcW w:w="101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1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156" w:type="dxa"/>
            <w:tcBorders/>
            <w:vAlign w:val="center"/>
          </w:tcPr>
          <w:p>
            <w:pPr>
              <w:pStyle w:val="TableContents"/>
              <w:bidi w:val="0"/>
              <w:spacing w:before="0" w:after="0"/>
              <w:jc w:val="left"/>
              <w:rPr/>
            </w:pPr>
            <w:r>
              <w:rPr/>
              <w:t xml:space="preserve">UNDER THE SECURITIES EXCHANGE ACT OF 1934 </w:t>
            </w:r>
          </w:p>
        </w:tc>
      </w:tr>
      <w:tr>
        <w:trPr/>
        <w:tc>
          <w:tcPr>
            <w:tcW w:w="101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156" w:type="dxa"/>
            <w:tcBorders/>
            <w:vAlign w:val="center"/>
          </w:tcPr>
          <w:p>
            <w:pPr>
              <w:pStyle w:val="TableContents"/>
              <w:bidi w:val="0"/>
              <w:spacing w:before="0" w:after="0"/>
              <w:jc w:val="center"/>
              <w:rPr>
                <w:b/>
                <w:color w:val="0000FF"/>
              </w:rPr>
            </w:pPr>
            <w:r>
              <w:rPr>
                <w:b/>
                <w:color w:val="0000FF"/>
              </w:rPr>
              <w:t>BRAINSWAY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156" w:type="dxa"/>
            <w:tcBorders/>
            <w:vAlign w:val="center"/>
          </w:tcPr>
          <w:p>
            <w:pPr>
              <w:pStyle w:val="TableContents"/>
              <w:bidi w:val="0"/>
              <w:spacing w:before="0" w:after="0"/>
              <w:jc w:val="center"/>
              <w:rPr>
                <w:b/>
                <w:color w:val="0000FF"/>
              </w:rPr>
            </w:pPr>
            <w:r>
              <w:rPr>
                <w:b/>
                <w:color w:val="0000FF"/>
              </w:rPr>
              <w:t>American Depositary Shares, each representing one Ordinary Share, par value NIS 0.04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1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1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Harel Insurance Investments &amp; Financial Services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ISRAEL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2,905,816.00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3,265,397.00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3,265,397.00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regard to Rows (6), (8) and (9), please see Item 4. Row (11) is based on 39,165,806 Ordinary Shares issued and outstanding as of December 31, 2025 (as reported by the Issuer in its Report on Form 20-F filed with the Securities and Exchange Commission on April 20, 2026). This CUSIP number above applies to the American Depositary Shares, evidenced by American Depositary Receipts, each representing one Ordinary Share, par value NIS 0.04 per share. It is hereby clarified that the shares being reported in this Statement as beneficially owned by the Reporting Person are in the form of Ordinary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7"/>
        <w:gridCol w:w="8903"/>
        <w:gridCol w:w="155"/>
      </w:tblGrid>
      <w:tr>
        <w:trPr/>
        <w:tc>
          <w:tcPr>
            <w:tcW w:w="1147" w:type="dxa"/>
            <w:tcBorders/>
            <w:vAlign w:val="center"/>
          </w:tcPr>
          <w:p>
            <w:pPr>
              <w:pStyle w:val="TableContents"/>
              <w:bidi w:val="0"/>
              <w:spacing w:before="0" w:after="283"/>
              <w:jc w:val="left"/>
              <w:rPr/>
            </w:pPr>
            <w:r>
              <w:rPr/>
              <w:t>Item 1.</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issuer: </w:t>
            </w:r>
          </w:p>
          <w:p>
            <w:pPr>
              <w:pStyle w:val="TableContents"/>
              <w:bidi w:val="0"/>
              <w:spacing w:before="0" w:after="0"/>
              <w:jc w:val="left"/>
              <w:rPr/>
            </w:pPr>
            <w:r>
              <w:rPr/>
              <w:t>BRAINSWAY LTD.</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 Hartum Street, RAD Tower, 14th Floor, Har HaHotzvim, Jerusalem, Israel, 9777516</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2.</w:t>
            </w:r>
          </w:p>
        </w:tc>
        <w:tc>
          <w:tcPr>
            <w:tcW w:w="890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Name of person filing: </w:t>
            </w:r>
          </w:p>
          <w:p>
            <w:pPr>
              <w:pStyle w:val="TableContents"/>
              <w:bidi w:val="0"/>
              <w:spacing w:before="0" w:after="0"/>
              <w:jc w:val="left"/>
              <w:rPr/>
            </w:pPr>
            <w:r>
              <w:rPr/>
              <w:t>Harel Insurance Investments &amp; Financial Services Ltd.</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 Aba Hillel Street, Ramat Gan 52118, Israel</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jc w:val="left"/>
              <w:rPr/>
            </w:pPr>
            <w:r>
              <w:rPr/>
              <w:t xml:space="preserve">Citizenship: </w:t>
            </w:r>
          </w:p>
          <w:p>
            <w:pPr>
              <w:pStyle w:val="TableContents"/>
              <w:bidi w:val="0"/>
              <w:spacing w:before="0" w:after="0"/>
              <w:jc w:val="left"/>
              <w:rPr/>
            </w:pPr>
            <w:r>
              <w:rPr/>
              <w:t>Israel</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one Ordinary Share, par value NIS 0.04 per share</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3.</w:t>
            </w:r>
          </w:p>
        </w:tc>
        <w:tc>
          <w:tcPr>
            <w:tcW w:w="890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(d)</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(e)</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(f)</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(g)</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(h)</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(j)</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(k)</w:t>
            </w:r>
          </w:p>
        </w:tc>
        <w:tc>
          <w:tcPr>
            <w:tcW w:w="890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9058" w:type="dxa"/>
            <w:gridSpan w:val="2"/>
            <w:tcBorders/>
            <w:vAlign w:val="center"/>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4.</w:t>
            </w:r>
          </w:p>
        </w:tc>
        <w:tc>
          <w:tcPr>
            <w:tcW w:w="890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(a)</w:t>
            </w:r>
          </w:p>
        </w:tc>
        <w:tc>
          <w:tcPr>
            <w:tcW w:w="890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Of the 3,265,397 Ordinary Shares reported in this Statement as beneficially owned by the Reporting Person, (i) 2,900,521 Ordinary Shares are held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(ii) 359,581 Ordinary Shares are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5,295 Ordinary Shares are beneficially held for its own account. Consequently, this Statement shall not be construed as an admission by the Reporting Person that it is the beneficial owner of more than 5,295 Ordinary Shares covered by this Statement.</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(b)</w:t>
            </w:r>
          </w:p>
        </w:tc>
        <w:tc>
          <w:tcPr>
            <w:tcW w:w="890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of the Reporting Person above.  %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(c)</w:t>
            </w:r>
          </w:p>
        </w:tc>
        <w:tc>
          <w:tcPr>
            <w:tcW w:w="890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 of the Reporting Person above and note in Item 4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 of the Reporting Person above and note in Item 4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5.</w:t>
            </w:r>
          </w:p>
        </w:tc>
        <w:tc>
          <w:tcPr>
            <w:tcW w:w="890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6.</w:t>
            </w:r>
          </w:p>
        </w:tc>
        <w:tc>
          <w:tcPr>
            <w:tcW w:w="890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7.</w:t>
            </w:r>
          </w:p>
        </w:tc>
        <w:tc>
          <w:tcPr>
            <w:tcW w:w="890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8.</w:t>
            </w:r>
          </w:p>
        </w:tc>
        <w:tc>
          <w:tcPr>
            <w:tcW w:w="890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Item 9.</w:t>
            </w:r>
          </w:p>
        </w:tc>
        <w:tc>
          <w:tcPr>
            <w:tcW w:w="890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7" w:type="dxa"/>
            <w:tcBorders/>
            <w:vAlign w:val="center"/>
          </w:tcPr>
          <w:p>
            <w:pPr>
              <w:pStyle w:val="TableContents"/>
              <w:bidi w:val="0"/>
              <w:spacing w:before="0" w:after="283"/>
              <w:jc w:val="left"/>
              <w:rPr/>
            </w:pPr>
            <w:r>
              <w:rPr/>
              <w:t> </w:t>
            </w:r>
          </w:p>
        </w:tc>
        <w:tc>
          <w:tcPr>
            <w:tcW w:w="890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51"/>
        <w:gridCol w:w="5054"/>
      </w:tblGrid>
      <w:tr>
        <w:trPr/>
        <w:tc>
          <w:tcPr>
            <w:tcW w:w="5151" w:type="dxa"/>
            <w:tcBorders/>
            <w:vAlign w:val="center"/>
          </w:tcPr>
          <w:p>
            <w:pPr>
              <w:pStyle w:val="TableContents"/>
              <w:bidi w:val="0"/>
              <w:spacing w:before="0" w:after="0"/>
              <w:jc w:val="left"/>
              <w:rPr/>
            </w:pPr>
            <w:r>
              <w:rPr/>
              <w:t> </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0"/>
                    <w:jc w:val="left"/>
                    <w:rPr/>
                  </w:pPr>
                  <w:r>
                    <w:rPr/>
                    <w:t>Harel Insurance Investments &amp; Financial Services Ltd.</w:t>
                  </w:r>
                </w:p>
              </w:tc>
            </w:tr>
          </w:tbl>
          <w:p>
            <w:pPr>
              <w:pStyle w:val="TableContents"/>
              <w:bidi w:val="0"/>
              <w:spacing w:before="0" w:after="283"/>
              <w:jc w:val="left"/>
              <w:rPr/>
            </w:pPr>
            <w:r>
              <w:rPr/>
            </w:r>
          </w:p>
        </w:tc>
        <w:tc>
          <w:tcPr>
            <w:tcW w:w="50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Alon Kaufman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Alon Kaufman/Vice President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1053</Words>
  <Characters>5492</Characters>
  <CharactersWithSpaces>6536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