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color w:val="000000"/>
          <w:spacing w:val="0"/>
          <w:sz w:val="20"/>
        </w:rPr>
      </w:pPr>
      <w:bookmarkStart w:id="0" w:name="f6k_092826.htm"/>
      <w:bookmarkStart w:id="1" w:name="ksf6k_092826"/>
      <w:bookmarkEnd w:id="0"/>
      <w:bookmarkEnd w:id="1"/>
      <w:r>
        <w:rPr>
          <w:b/>
          <w:color w:val="000000"/>
          <w:spacing w:val="0"/>
          <w:sz w:val="20"/>
        </w:rPr>
        <w:t>UNITED STATES</w:t>
      </w:r>
    </w:p>
    <w:p>
      <w:pPr>
        <w:pStyle w:val="TextBody"/>
        <w:bidi w:val="0"/>
        <w:spacing w:before="0" w:after="0"/>
        <w:ind w:left="0" w:right="0" w:hanging="0"/>
        <w:jc w:val="center"/>
        <w:rPr>
          <w:b/>
          <w:color w:val="000000"/>
          <w:spacing w:val="0"/>
          <w:sz w:val="20"/>
        </w:rPr>
      </w:pPr>
      <w:r>
        <w:rPr>
          <w:b/>
          <w:color w:val="000000"/>
          <w:spacing w:val="0"/>
          <w:sz w:val="20"/>
        </w:rPr>
        <w:t>SECURITIES AND EXCHANGE COMMISSION</w:t>
      </w:r>
    </w:p>
    <w:p>
      <w:pPr>
        <w:pStyle w:val="TextBody"/>
        <w:bidi w:val="0"/>
        <w:spacing w:before="0" w:after="0"/>
        <w:ind w:left="0" w:right="0" w:hanging="0"/>
        <w:jc w:val="center"/>
        <w:rPr>
          <w:b/>
          <w:color w:val="000000"/>
          <w:spacing w:val="0"/>
          <w:sz w:val="20"/>
        </w:rPr>
      </w:pPr>
      <w:r>
        <w:rPr>
          <w:b/>
          <w:color w:val="000000"/>
          <w:spacing w:val="0"/>
          <w:sz w:val="20"/>
        </w:rPr>
        <w:t>Washington, D.C. 20549</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center"/>
        <w:rPr>
          <w:b/>
          <w:color w:val="000000"/>
          <w:spacing w:val="0"/>
          <w:sz w:val="20"/>
        </w:rPr>
      </w:pPr>
      <w:r>
        <w:rPr>
          <w:b/>
          <w:color w:val="000000"/>
          <w:spacing w:val="0"/>
          <w:sz w:val="20"/>
        </w:rPr>
        <w:t xml:space="preserve">FORM </w:t>
      </w:r>
      <w:bookmarkStart w:id="2" w:name="xdx_903_edei--DocumentType_c20260101__20"/>
      <w:bookmarkEnd w:id="2"/>
      <w:r>
        <w:rPr>
          <w:b/>
          <w:color w:val="000000"/>
          <w:spacing w:val="0"/>
          <w:sz w:val="20"/>
        </w:rPr>
        <w:t>6-K</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center"/>
        <w:rPr>
          <w:b/>
          <w:color w:val="000000"/>
          <w:spacing w:val="0"/>
          <w:sz w:val="20"/>
        </w:rPr>
      </w:pPr>
      <w:r>
        <w:rPr>
          <w:b/>
          <w:color w:val="000000"/>
          <w:spacing w:val="0"/>
          <w:sz w:val="20"/>
        </w:rPr>
        <w:t>REPORT OF FOREIGN PRIVATE ISSUER PURSUANT TO RULE 13a-16 OR 15d-16 UNDER THE SECURITIES EXCHANGE ACT OF 1934</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center"/>
        <w:rPr>
          <w:b/>
          <w:color w:val="000000"/>
          <w:spacing w:val="0"/>
          <w:sz w:val="20"/>
        </w:rPr>
      </w:pPr>
      <w:r>
        <w:rPr>
          <w:b/>
          <w:color w:val="000000"/>
          <w:spacing w:val="0"/>
          <w:sz w:val="20"/>
        </w:rPr>
        <w:t>For the month of September 2026</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center"/>
        <w:rPr>
          <w:b w:val="false"/>
          <w:color w:val="000000"/>
          <w:spacing w:val="0"/>
          <w:sz w:val="20"/>
        </w:rPr>
      </w:pPr>
      <w:r>
        <w:rPr>
          <w:b w:val="false"/>
          <w:color w:val="000000"/>
          <w:spacing w:val="0"/>
          <w:sz w:val="20"/>
        </w:rPr>
        <w:t>Commission File Number: </w:t>
      </w:r>
      <w:bookmarkStart w:id="3" w:name="xdx_901_edei--EntityFileNumber_c20260101"/>
      <w:bookmarkEnd w:id="3"/>
      <w:r>
        <w:rPr>
          <w:b/>
          <w:color w:val="000000"/>
          <w:spacing w:val="0"/>
          <w:sz w:val="20"/>
        </w:rPr>
        <w:t>001-35165</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center"/>
        <w:rPr>
          <w:b/>
          <w:color w:val="000000"/>
          <w:spacing w:val="0"/>
          <w:sz w:val="20"/>
        </w:rPr>
      </w:pPr>
      <w:bookmarkStart w:id="4" w:name="xdx_907_edei--EntityRegistrantName_c2026"/>
      <w:bookmarkEnd w:id="4"/>
      <w:r>
        <w:rPr>
          <w:b/>
          <w:color w:val="000000"/>
          <w:spacing w:val="0"/>
          <w:sz w:val="20"/>
        </w:rPr>
        <w:t>BRAINSWAY LTD.</w:t>
      </w:r>
    </w:p>
    <w:p>
      <w:pPr>
        <w:pStyle w:val="TextBody"/>
        <w:bidi w:val="0"/>
        <w:spacing w:before="0" w:after="0"/>
        <w:ind w:left="0" w:right="0" w:hanging="0"/>
        <w:jc w:val="center"/>
        <w:rPr>
          <w:b w:val="false"/>
          <w:color w:val="000000"/>
          <w:spacing w:val="0"/>
          <w:sz w:val="20"/>
        </w:rPr>
      </w:pPr>
      <w:r>
        <w:rPr>
          <w:b w:val="false"/>
          <w:color w:val="000000"/>
          <w:spacing w:val="0"/>
          <w:sz w:val="20"/>
        </w:rPr>
        <w:t>(Translation of registrant’s name into English)</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center"/>
        <w:rPr>
          <w:b/>
          <w:color w:val="000000"/>
          <w:spacing w:val="0"/>
          <w:sz w:val="20"/>
        </w:rPr>
      </w:pPr>
      <w:bookmarkStart w:id="5" w:name="xdx_90C_edei--EntityAddressAddressLine1_"/>
      <w:bookmarkEnd w:id="5"/>
      <w:r>
        <w:rPr>
          <w:b/>
          <w:color w:val="000000"/>
          <w:spacing w:val="0"/>
          <w:sz w:val="20"/>
        </w:rPr>
        <w:t xml:space="preserve">16 Hartum Street, </w:t>
      </w:r>
      <w:bookmarkStart w:id="6" w:name="xdx_905_edei--EntityAddressAddressLine2_"/>
      <w:bookmarkEnd w:id="6"/>
      <w:r>
        <w:rPr>
          <w:b/>
          <w:color w:val="000000"/>
          <w:spacing w:val="0"/>
          <w:sz w:val="20"/>
        </w:rPr>
        <w:t xml:space="preserve">RAD Tower, </w:t>
      </w:r>
      <w:bookmarkStart w:id="7" w:name="xdx_90B_edei--EntityAddressAddressLine3_"/>
      <w:bookmarkEnd w:id="7"/>
      <w:r>
        <w:rPr>
          <w:b/>
          <w:color w:val="000000"/>
          <w:spacing w:val="0"/>
          <w:sz w:val="20"/>
        </w:rPr>
        <w:t>14th Floor</w:t>
        <w:br/>
      </w:r>
      <w:bookmarkStart w:id="8" w:name="xdx_901_ecustom--EntityAddressAddressLin"/>
      <w:bookmarkEnd w:id="8"/>
      <w:r>
        <w:rPr>
          <w:b/>
          <w:color w:val="000000"/>
          <w:spacing w:val="0"/>
          <w:sz w:val="20"/>
        </w:rPr>
        <w:t>Har HaHotzvim</w:t>
        <w:br/>
      </w:r>
      <w:bookmarkStart w:id="9" w:name="xdx_908_edei--EntityAddressCityOrTown_c2"/>
      <w:bookmarkEnd w:id="9"/>
      <w:r>
        <w:rPr>
          <w:b/>
          <w:color w:val="000000"/>
          <w:spacing w:val="0"/>
          <w:sz w:val="20"/>
        </w:rPr>
        <w:t xml:space="preserve">Jerusalem, </w:t>
      </w:r>
      <w:bookmarkStart w:id="10" w:name="xdx_90B_edei--EntityAddressPostalZipCode"/>
      <w:bookmarkEnd w:id="10"/>
      <w:r>
        <w:rPr>
          <w:b/>
          <w:color w:val="000000"/>
          <w:spacing w:val="0"/>
          <w:sz w:val="20"/>
        </w:rPr>
        <w:t xml:space="preserve">9777516, </w:t>
      </w:r>
      <w:bookmarkStart w:id="11" w:name="xdx_907_edei--EntityAddressCountry_c2026"/>
      <w:bookmarkEnd w:id="11"/>
      <w:r>
        <w:rPr>
          <w:b/>
          <w:color w:val="000000"/>
          <w:spacing w:val="0"/>
          <w:sz w:val="20"/>
        </w:rPr>
        <w:t>Israel</w:t>
      </w:r>
    </w:p>
    <w:p>
      <w:pPr>
        <w:pStyle w:val="TextBody"/>
        <w:bidi w:val="0"/>
        <w:spacing w:before="0" w:after="0"/>
        <w:ind w:left="0" w:right="0" w:hanging="0"/>
        <w:jc w:val="center"/>
        <w:rPr>
          <w:b w:val="false"/>
          <w:color w:val="000000"/>
          <w:spacing w:val="0"/>
          <w:sz w:val="20"/>
        </w:rPr>
      </w:pPr>
      <w:r>
        <w:rPr>
          <w:b w:val="false"/>
          <w:color w:val="000000"/>
          <w:spacing w:val="0"/>
          <w:sz w:val="20"/>
        </w:rPr>
        <w:t>(Address of principal executive office)</w:t>
      </w:r>
    </w:p>
    <w:p>
      <w:pPr>
        <w:pStyle w:val="TextBody"/>
        <w:bidi w:val="0"/>
        <w:spacing w:before="0" w:after="0"/>
        <w:ind w:left="0" w:right="0" w:hanging="0"/>
        <w:jc w:val="center"/>
        <w:rPr>
          <w:color w:val="000000"/>
          <w:spacing w:val="0"/>
        </w:rPr>
      </w:pPr>
      <w:r>
        <w:rPr>
          <w:color w:val="000000"/>
          <w:spacing w:val="0"/>
        </w:rPr>
        <w:t> </w:t>
      </w:r>
    </w:p>
    <w:p>
      <w:pPr>
        <w:pStyle w:val="TextBody"/>
        <w:bidi w:val="0"/>
        <w:spacing w:before="0" w:after="0"/>
        <w:ind w:left="0" w:right="0" w:hanging="0"/>
        <w:jc w:val="left"/>
        <w:rPr>
          <w:b w:val="false"/>
          <w:color w:val="000000"/>
          <w:spacing w:val="0"/>
          <w:sz w:val="20"/>
        </w:rPr>
      </w:pPr>
      <w:r>
        <w:rPr>
          <w:b w:val="false"/>
          <w:color w:val="000000"/>
          <w:spacing w:val="0"/>
          <w:sz w:val="20"/>
        </w:rPr>
        <w:t>Indicate by check mark whether the registrant files or will file annual reports under cover of Form 20-F or Form 40-F.</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b w:val="false"/>
          <w:color w:val="000000"/>
          <w:spacing w:val="0"/>
          <w:sz w:val="20"/>
        </w:rPr>
      </w:pPr>
      <w:r>
        <w:rPr>
          <w:b w:val="false"/>
          <w:color w:val="000000"/>
          <w:spacing w:val="0"/>
          <w:sz w:val="20"/>
        </w:rPr>
        <w:t>Form 20-F ☒ Form 40-F ☐</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both"/>
        <w:rPr>
          <w:b w:val="false"/>
          <w:color w:val="000000"/>
          <w:spacing w:val="0"/>
          <w:sz w:val="20"/>
        </w:rPr>
      </w:pPr>
      <w:r>
        <w:rPr>
          <w:b w:val="false"/>
          <w:color w:val="000000"/>
          <w:spacing w:val="0"/>
          <w:sz w:val="20"/>
        </w:rPr>
        <w:t>This Form 6-K is incorporated by reference into the Company's Registration Statement on Form S-8 filed with the Securities and Exchange Commission on April 22, 2019 (Registration No. 333-230979) and on April 20, 2026 (Registration No. 333-295189) and the Company's Registration Statement on Form F-3 filed with the Securities and Exchange Commission on July 22, 2024 (Registration No. 333-280934) and on April 22, 2025 (Registration No. 333-286672).</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olor w:val="000000"/>
          <w:spacing w:val="0"/>
          <w:sz w:val="20"/>
        </w:rPr>
      </w:pPr>
      <w:r>
        <w:rPr>
          <w:b/>
          <w:color w:val="000000"/>
          <w:spacing w:val="0"/>
          <w:sz w:val="20"/>
        </w:rPr>
        <w:t>EXHIBIT INDEX</w:t>
      </w:r>
    </w:p>
    <w:p>
      <w:pPr>
        <w:pStyle w:val="TextBody"/>
        <w:bidi w:val="0"/>
        <w:spacing w:before="0" w:after="0"/>
        <w:ind w:left="0" w:right="0" w:hanging="0"/>
        <w:jc w:val="left"/>
        <w:rPr>
          <w:color w:val="000000"/>
          <w:spacing w:val="0"/>
        </w:rPr>
      </w:pPr>
      <w:r>
        <w:rPr>
          <w:color w:val="000000"/>
          <w:spacing w:val="0"/>
        </w:rPr>
        <w:t> </w:t>
      </w:r>
    </w:p>
    <w:tbl>
      <w:tblPr>
        <w:tblW w:w="10205" w:type="dxa"/>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b/>
              </w:rPr>
            </w:pPr>
            <w:r>
              <w:rPr>
                <w:b/>
              </w:rPr>
              <w:t>Exhibit</w:t>
            </w:r>
          </w:p>
        </w:tc>
        <w:tc>
          <w:tcPr>
            <w:tcW w:w="9289" w:type="dxa"/>
            <w:tcBorders/>
            <w:vAlign w:val="center"/>
          </w:tcPr>
          <w:p>
            <w:pPr>
              <w:pStyle w:val="TableContents"/>
              <w:bidi w:val="0"/>
              <w:spacing w:before="0" w:after="283"/>
              <w:jc w:val="left"/>
              <w:rPr>
                <w:b/>
              </w:rPr>
            </w:pPr>
            <w:r>
              <w:rPr>
                <w:b/>
              </w:rPr>
              <w:t>Title</w:t>
            </w:r>
          </w:p>
        </w:tc>
      </w:tr>
      <w:tr>
        <w:trPr/>
        <w:tc>
          <w:tcPr>
            <w:tcW w:w="916" w:type="dxa"/>
            <w:tcBorders/>
            <w:vAlign w:val="center"/>
          </w:tcPr>
          <w:p>
            <w:pPr>
              <w:pStyle w:val="TableContents"/>
              <w:bidi w:val="0"/>
              <w:spacing w:before="0" w:after="283"/>
              <w:jc w:val="left"/>
              <w:rPr/>
            </w:pPr>
            <w:r>
              <w:rPr/>
              <w:t> </w:t>
            </w:r>
          </w:p>
        </w:tc>
        <w:tc>
          <w:tcPr>
            <w:tcW w:w="9289" w:type="dxa"/>
            <w:tcBorders/>
            <w:vAlign w:val="center"/>
          </w:tcPr>
          <w:p>
            <w:pPr>
              <w:pStyle w:val="TableContents"/>
              <w:bidi w:val="0"/>
              <w:spacing w:before="0" w:after="283"/>
              <w:jc w:val="left"/>
              <w:rPr/>
            </w:pPr>
            <w:r>
              <w:rPr/>
              <w:t> </w:t>
            </w:r>
          </w:p>
        </w:tc>
      </w:tr>
      <w:tr>
        <w:trPr/>
        <w:tc>
          <w:tcPr>
            <w:tcW w:w="916" w:type="dxa"/>
            <w:tcBorders/>
            <w:vAlign w:val="center"/>
          </w:tcPr>
          <w:p>
            <w:pPr>
              <w:pStyle w:val="TableContents"/>
              <w:bidi w:val="0"/>
              <w:spacing w:before="0" w:after="283"/>
              <w:jc w:val="left"/>
              <w:rPr/>
            </w:pPr>
            <w:hyperlink w:anchor="exh_991.htm">
              <w:r>
                <w:rPr>
                  <w:rStyle w:val="InternetLink"/>
                </w:rPr>
                <w:t>99.1</w:t>
              </w:r>
            </w:hyperlink>
          </w:p>
        </w:tc>
        <w:tc>
          <w:tcPr>
            <w:tcW w:w="9289" w:type="dxa"/>
            <w:tcBorders/>
            <w:vAlign w:val="center"/>
          </w:tcPr>
          <w:p>
            <w:pPr>
              <w:pStyle w:val="TableContents"/>
              <w:bidi w:val="0"/>
              <w:spacing w:before="0" w:after="283"/>
              <w:jc w:val="left"/>
              <w:rPr/>
            </w:pPr>
            <w:hyperlink w:anchor="exh_991.htm">
              <w:r>
                <w:rPr>
                  <w:rStyle w:val="InternetLink"/>
                </w:rPr>
                <w:t>Condensed consolidated unaudited interim financial statements for the six-month period ended June 30, 2026</w:t>
              </w:r>
            </w:hyperlink>
          </w:p>
        </w:tc>
      </w:tr>
      <w:tr>
        <w:trPr/>
        <w:tc>
          <w:tcPr>
            <w:tcW w:w="916" w:type="dxa"/>
            <w:tcBorders/>
            <w:vAlign w:val="center"/>
          </w:tcPr>
          <w:p>
            <w:pPr>
              <w:pStyle w:val="TableContents"/>
              <w:bidi w:val="0"/>
              <w:spacing w:before="0" w:after="283"/>
              <w:jc w:val="left"/>
              <w:rPr/>
            </w:pPr>
            <w:hyperlink w:anchor="exh_992.htm">
              <w:r>
                <w:rPr>
                  <w:rStyle w:val="InternetLink"/>
                </w:rPr>
                <w:t>99.2</w:t>
              </w:r>
            </w:hyperlink>
          </w:p>
        </w:tc>
        <w:tc>
          <w:tcPr>
            <w:tcW w:w="9289" w:type="dxa"/>
            <w:tcBorders/>
            <w:vAlign w:val="center"/>
          </w:tcPr>
          <w:p>
            <w:pPr>
              <w:pStyle w:val="TableContents"/>
              <w:bidi w:val="0"/>
              <w:spacing w:before="0" w:after="283"/>
              <w:jc w:val="left"/>
              <w:rPr/>
            </w:pPr>
            <w:hyperlink w:anchor="exh_992.htm">
              <w:r>
                <w:rPr>
                  <w:rStyle w:val="InternetLink"/>
                </w:rPr>
                <w:t>Operating and financial review and prospects</w:t>
              </w:r>
            </w:hyperlink>
            <w:r>
              <w:rPr/>
              <w:t> </w:t>
            </w:r>
          </w:p>
        </w:tc>
      </w:tr>
      <w:tr>
        <w:trPr/>
        <w:tc>
          <w:tcPr>
            <w:tcW w:w="916" w:type="dxa"/>
            <w:tcBorders/>
            <w:vAlign w:val="center"/>
          </w:tcPr>
          <w:p>
            <w:pPr>
              <w:pStyle w:val="TableContents"/>
              <w:bidi w:val="0"/>
              <w:spacing w:before="0" w:after="283"/>
              <w:jc w:val="left"/>
              <w:rPr/>
            </w:pPr>
            <w:r>
              <w:rPr/>
              <w:t>101.INS</w:t>
            </w:r>
          </w:p>
        </w:tc>
        <w:tc>
          <w:tcPr>
            <w:tcW w:w="9289" w:type="dxa"/>
            <w:tcBorders/>
            <w:vAlign w:val="center"/>
          </w:tcPr>
          <w:p>
            <w:pPr>
              <w:pStyle w:val="TableContents"/>
              <w:bidi w:val="0"/>
              <w:spacing w:before="0" w:after="283"/>
              <w:jc w:val="left"/>
              <w:rPr/>
            </w:pPr>
            <w:r>
              <w:rPr/>
              <w:t>Inline XBRL Instance Document</w:t>
            </w:r>
          </w:p>
        </w:tc>
      </w:tr>
      <w:tr>
        <w:trPr/>
        <w:tc>
          <w:tcPr>
            <w:tcW w:w="916" w:type="dxa"/>
            <w:tcBorders/>
            <w:vAlign w:val="center"/>
          </w:tcPr>
          <w:p>
            <w:pPr>
              <w:pStyle w:val="TableContents"/>
              <w:bidi w:val="0"/>
              <w:spacing w:before="0" w:after="283"/>
              <w:jc w:val="left"/>
              <w:rPr/>
            </w:pPr>
            <w:r>
              <w:rPr/>
              <w:t>101.SCH</w:t>
            </w:r>
          </w:p>
        </w:tc>
        <w:tc>
          <w:tcPr>
            <w:tcW w:w="9289" w:type="dxa"/>
            <w:tcBorders/>
            <w:vAlign w:val="center"/>
          </w:tcPr>
          <w:p>
            <w:pPr>
              <w:pStyle w:val="TableContents"/>
              <w:bidi w:val="0"/>
              <w:spacing w:before="0" w:after="283"/>
              <w:jc w:val="left"/>
              <w:rPr/>
            </w:pPr>
            <w:r>
              <w:rPr/>
              <w:t>Inline XBRL Taxonomy Extension Schema</w:t>
            </w:r>
          </w:p>
        </w:tc>
      </w:tr>
      <w:tr>
        <w:trPr/>
        <w:tc>
          <w:tcPr>
            <w:tcW w:w="916" w:type="dxa"/>
            <w:tcBorders/>
            <w:vAlign w:val="center"/>
          </w:tcPr>
          <w:p>
            <w:pPr>
              <w:pStyle w:val="TableContents"/>
              <w:bidi w:val="0"/>
              <w:spacing w:before="0" w:after="283"/>
              <w:jc w:val="left"/>
              <w:rPr/>
            </w:pPr>
            <w:r>
              <w:rPr/>
              <w:t>101.CAL</w:t>
            </w:r>
          </w:p>
        </w:tc>
        <w:tc>
          <w:tcPr>
            <w:tcW w:w="9289" w:type="dxa"/>
            <w:tcBorders/>
            <w:vAlign w:val="center"/>
          </w:tcPr>
          <w:p>
            <w:pPr>
              <w:pStyle w:val="TableContents"/>
              <w:bidi w:val="0"/>
              <w:spacing w:before="0" w:after="283"/>
              <w:jc w:val="left"/>
              <w:rPr/>
            </w:pPr>
            <w:r>
              <w:rPr/>
              <w:t>Inline XBRL Taxonomy Extension Calculation Linkbase </w:t>
            </w:r>
          </w:p>
        </w:tc>
      </w:tr>
      <w:tr>
        <w:trPr/>
        <w:tc>
          <w:tcPr>
            <w:tcW w:w="916" w:type="dxa"/>
            <w:tcBorders/>
            <w:vAlign w:val="center"/>
          </w:tcPr>
          <w:p>
            <w:pPr>
              <w:pStyle w:val="TableContents"/>
              <w:bidi w:val="0"/>
              <w:spacing w:before="0" w:after="283"/>
              <w:jc w:val="left"/>
              <w:rPr/>
            </w:pPr>
            <w:r>
              <w:rPr/>
              <w:t>101.DEF</w:t>
            </w:r>
          </w:p>
        </w:tc>
        <w:tc>
          <w:tcPr>
            <w:tcW w:w="9289" w:type="dxa"/>
            <w:tcBorders/>
            <w:vAlign w:val="center"/>
          </w:tcPr>
          <w:p>
            <w:pPr>
              <w:pStyle w:val="TableContents"/>
              <w:bidi w:val="0"/>
              <w:spacing w:before="0" w:after="283"/>
              <w:jc w:val="left"/>
              <w:rPr/>
            </w:pPr>
            <w:r>
              <w:rPr/>
              <w:t>Inline XBRL Taxonomy Extension Definition Linkbase </w:t>
            </w:r>
          </w:p>
        </w:tc>
      </w:tr>
      <w:tr>
        <w:trPr/>
        <w:tc>
          <w:tcPr>
            <w:tcW w:w="916" w:type="dxa"/>
            <w:tcBorders/>
            <w:vAlign w:val="center"/>
          </w:tcPr>
          <w:p>
            <w:pPr>
              <w:pStyle w:val="TableContents"/>
              <w:bidi w:val="0"/>
              <w:spacing w:before="0" w:after="283"/>
              <w:jc w:val="left"/>
              <w:rPr/>
            </w:pPr>
            <w:r>
              <w:rPr/>
              <w:t>101.LAB</w:t>
            </w:r>
          </w:p>
        </w:tc>
        <w:tc>
          <w:tcPr>
            <w:tcW w:w="9289" w:type="dxa"/>
            <w:tcBorders/>
            <w:vAlign w:val="center"/>
          </w:tcPr>
          <w:p>
            <w:pPr>
              <w:pStyle w:val="TableContents"/>
              <w:bidi w:val="0"/>
              <w:spacing w:before="0" w:after="283"/>
              <w:jc w:val="left"/>
              <w:rPr/>
            </w:pPr>
            <w:r>
              <w:rPr/>
              <w:t>Inline XBRL Taxonomy Extension Label Linkbase </w:t>
            </w:r>
          </w:p>
        </w:tc>
      </w:tr>
      <w:tr>
        <w:trPr/>
        <w:tc>
          <w:tcPr>
            <w:tcW w:w="916" w:type="dxa"/>
            <w:tcBorders/>
            <w:vAlign w:val="center"/>
          </w:tcPr>
          <w:p>
            <w:pPr>
              <w:pStyle w:val="TableContents"/>
              <w:bidi w:val="0"/>
              <w:spacing w:before="0" w:after="283"/>
              <w:jc w:val="left"/>
              <w:rPr/>
            </w:pPr>
            <w:r>
              <w:rPr/>
              <w:t>101.PRE</w:t>
            </w:r>
          </w:p>
        </w:tc>
        <w:tc>
          <w:tcPr>
            <w:tcW w:w="9289" w:type="dxa"/>
            <w:tcBorders/>
            <w:vAlign w:val="center"/>
          </w:tcPr>
          <w:p>
            <w:pPr>
              <w:pStyle w:val="TableContents"/>
              <w:bidi w:val="0"/>
              <w:spacing w:before="0" w:after="283"/>
              <w:jc w:val="left"/>
              <w:rPr/>
            </w:pPr>
            <w:r>
              <w:rPr/>
              <w:t>Inline XBRL Taxonomy Extension Presentation Linkbase</w:t>
            </w:r>
          </w:p>
        </w:tc>
      </w:tr>
      <w:tr>
        <w:trPr/>
        <w:tc>
          <w:tcPr>
            <w:tcW w:w="916" w:type="dxa"/>
            <w:tcBorders/>
            <w:vAlign w:val="center"/>
          </w:tcPr>
          <w:p>
            <w:pPr>
              <w:pStyle w:val="TableContents"/>
              <w:bidi w:val="0"/>
              <w:spacing w:before="0" w:after="283"/>
              <w:jc w:val="left"/>
              <w:rPr/>
            </w:pPr>
            <w:r>
              <w:rPr/>
              <w:t>104</w:t>
            </w:r>
          </w:p>
        </w:tc>
        <w:tc>
          <w:tcPr>
            <w:tcW w:w="9289"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olor w:val="000000"/>
          <w:spacing w:val="0"/>
          <w:sz w:val="20"/>
        </w:rPr>
      </w:pPr>
      <w:r>
        <w:rPr>
          <w:b/>
          <w:color w:val="000000"/>
          <w:spacing w:val="0"/>
          <w:sz w:val="20"/>
        </w:rPr>
        <w:t>SIGNATURES</w:t>
      </w:r>
    </w:p>
    <w:p>
      <w:pPr>
        <w:pStyle w:val="TextBody"/>
        <w:bidi w:val="0"/>
        <w:spacing w:before="0" w:after="0"/>
        <w:ind w:left="0" w:right="0" w:hanging="0"/>
        <w:jc w:val="left"/>
        <w:rPr>
          <w:color w:val="000000"/>
          <w:spacing w:val="0"/>
        </w:rPr>
      </w:pPr>
      <w:r>
        <w:rPr>
          <w:color w:val="000000"/>
          <w:spacing w:val="0"/>
        </w:rPr>
        <w:t> </w:t>
      </w:r>
    </w:p>
    <w:p>
      <w:pPr>
        <w:pStyle w:val="TextBody"/>
        <w:bidi w:val="0"/>
        <w:spacing w:before="0" w:after="0"/>
        <w:ind w:left="0" w:right="0" w:hanging="0"/>
        <w:jc w:val="left"/>
        <w:rPr>
          <w:b w:val="false"/>
          <w:color w:val="000000"/>
          <w:spacing w:val="0"/>
          <w:sz w:val="20"/>
        </w:rPr>
      </w:pPr>
      <w:r>
        <w:rPr>
          <w:b w:val="false"/>
          <w:color w:val="000000"/>
          <w:spacing w:val="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olor w:val="000000"/>
          <w:spacing w:val="0"/>
        </w:rPr>
      </w:pPr>
      <w:r>
        <w:rPr>
          <w:color w:val="000000"/>
          <w:spacing w:val="0"/>
        </w:rPr>
        <w:t> </w:t>
      </w:r>
    </w:p>
    <w:tbl>
      <w:tblPr>
        <w:tblW w:w="4150" w:type="dxa"/>
        <w:jc w:val="left"/>
        <w:tblInd w:w="0" w:type="dxa"/>
        <w:tblLayout w:type="fixed"/>
        <w:tblCellMar>
          <w:top w:w="0" w:type="dxa"/>
          <w:left w:w="0" w:type="dxa"/>
          <w:bottom w:w="0" w:type="dxa"/>
          <w:right w:w="0" w:type="dxa"/>
        </w:tblCellMar>
      </w:tblPr>
      <w:tblGrid>
        <w:gridCol w:w="2135"/>
        <w:gridCol w:w="1940"/>
        <w:gridCol w:w="75"/>
      </w:tblGrid>
      <w:tr>
        <w:trPr/>
        <w:tc>
          <w:tcPr>
            <w:tcW w:w="21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b/>
                <w:sz w:val="20"/>
              </w:rPr>
            </w:pPr>
            <w:r>
              <w:rPr>
                <w:b/>
                <w:sz w:val="20"/>
              </w:rPr>
              <w:t>BRAINSWAY LTD.</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sz w:val="20"/>
              </w:rPr>
            </w:pPr>
            <w:r>
              <w:rPr>
                <w:sz w:val="20"/>
              </w:rPr>
              <w:t>(Registrant)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29, 2026</w:t>
            </w:r>
          </w:p>
        </w:tc>
        <w:tc>
          <w:tcPr>
            <w:tcW w:w="1940" w:type="dxa"/>
            <w:tcBorders>
              <w:bottom w:val="single" w:sz="8" w:space="0" w:color="000000"/>
            </w:tcBorders>
            <w:tcMar>
              <w:bottom w:w="28" w:type="dxa"/>
            </w:tcMar>
            <w:vAlign w:val="center"/>
          </w:tcPr>
          <w:p>
            <w:pPr>
              <w:pStyle w:val="TableContents"/>
              <w:bidi w:val="0"/>
              <w:spacing w:before="0" w:after="283"/>
              <w:jc w:val="center"/>
              <w:rPr>
                <w:i/>
                <w:sz w:val="20"/>
              </w:rPr>
            </w:pPr>
            <w:r>
              <w:rPr>
                <w:i/>
                <w:sz w:val="20"/>
              </w:rPr>
              <w:t>/s/ Hadar Levy</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center"/>
              <w:rPr>
                <w:sz w:val="20"/>
              </w:rPr>
            </w:pPr>
            <w:r>
              <w:rPr>
                <w:sz w:val="20"/>
              </w:rPr>
              <w:t>Hadar Levy</w:t>
            </w:r>
          </w:p>
          <w:p>
            <w:pPr>
              <w:pStyle w:val="TableContents"/>
              <w:bidi w:val="0"/>
              <w:spacing w:before="0" w:after="0"/>
              <w:jc w:val="center"/>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0000"/>
          <w:spacing w:val="0"/>
        </w:rPr>
      </w:pPr>
      <w:r>
        <w:rPr>
          <w:color w:val="000000"/>
          <w:spacing w:val="0"/>
        </w:rPr>
        <w:t> </w:t>
      </w:r>
    </w:p>
    <w:p>
      <w:pPr>
        <w:pStyle w:val="TextBody"/>
        <w:bidi w:val="0"/>
        <w:spacing w:before="4" w:after="4"/>
        <w:ind w:left="4" w:right="4" w:hanging="0"/>
        <w:jc w:val="right"/>
        <w:rPr>
          <w:b/>
          <w:sz w:val="20"/>
        </w:rPr>
      </w:pPr>
      <w:bookmarkStart w:id="12" w:name="exh_991.htm"/>
      <w:bookmarkStart w:id="13" w:name="ksexh_991"/>
      <w:bookmarkEnd w:id="12"/>
      <w:bookmarkEnd w:id="13"/>
      <w:r>
        <w:rPr>
          <w:b/>
          <w:sz w:val="20"/>
        </w:rPr>
        <w:t>Exhibit 99.1</w:t>
      </w:r>
      <w:r>
        <w:br w:type="page"/>
      </w:r>
    </w:p>
    <w:p>
      <w:pPr>
        <w:pStyle w:val="TextBody"/>
        <w:bidi w:val="0"/>
        <w:spacing w:before="0" w:after="283"/>
        <w:jc w:val="left"/>
        <w:rPr/>
      </w:pPr>
      <w:r>
        <w:rPr/>
        <w:t> </w:t>
      </w:r>
    </w:p>
    <w:p>
      <w:pPr>
        <w:pStyle w:val="TextBody"/>
        <w:bidi w:val="0"/>
        <w:spacing w:before="0" w:after="0"/>
        <w:jc w:val="center"/>
        <w:rPr>
          <w:b/>
          <w:sz w:val="20"/>
        </w:rPr>
      </w:pPr>
      <w:r>
        <w:rPr>
          <w:b/>
          <w:sz w:val="20"/>
        </w:rPr>
        <w:t>BRAINSWAY LTD. AND ITS SUBSIDIARIES</w:t>
      </w:r>
    </w:p>
    <w:p>
      <w:pPr>
        <w:pStyle w:val="TextBody"/>
        <w:bidi w:val="0"/>
        <w:spacing w:before="0" w:after="0"/>
        <w:jc w:val="center"/>
        <w:rPr>
          <w:b/>
          <w:sz w:val="20"/>
        </w:rPr>
      </w:pPr>
      <w:r>
        <w:rPr>
          <w:b/>
          <w:sz w:val="20"/>
        </w:rPr>
        <w:t>CONDENSED CONSOLIDATED UNAUDITED INTERIM</w:t>
      </w:r>
    </w:p>
    <w:p>
      <w:pPr>
        <w:pStyle w:val="TextBody"/>
        <w:bidi w:val="0"/>
        <w:spacing w:before="0" w:after="0"/>
        <w:jc w:val="center"/>
        <w:rPr>
          <w:b/>
          <w:sz w:val="20"/>
        </w:rPr>
      </w:pPr>
      <w:r>
        <w:rPr>
          <w:b/>
          <w:sz w:val="20"/>
        </w:rPr>
        <w:t>FINANCIAL STATEMENTS</w:t>
      </w:r>
    </w:p>
    <w:p>
      <w:pPr>
        <w:pStyle w:val="TextBody"/>
        <w:bidi w:val="0"/>
        <w:spacing w:before="0" w:after="0"/>
        <w:jc w:val="center"/>
        <w:rPr/>
      </w:pPr>
      <w:r>
        <w:rPr/>
        <w:t> </w:t>
      </w:r>
    </w:p>
    <w:p>
      <w:pPr>
        <w:pStyle w:val="TextBody"/>
        <w:bidi w:val="0"/>
        <w:spacing w:before="0" w:after="0"/>
        <w:jc w:val="center"/>
        <w:rPr>
          <w:b/>
          <w:sz w:val="20"/>
        </w:rPr>
      </w:pPr>
      <w:r>
        <w:rPr>
          <w:b/>
          <w:sz w:val="20"/>
        </w:rPr>
        <w:t>JUNE 30, 2026</w:t>
      </w:r>
    </w:p>
    <w:p>
      <w:pPr>
        <w:pStyle w:val="TextBody"/>
        <w:bidi w:val="0"/>
        <w:spacing w:before="0" w:after="0"/>
        <w:jc w:val="center"/>
        <w:rPr/>
      </w:pPr>
      <w:r>
        <w:rPr/>
        <w:t> </w:t>
      </w:r>
    </w:p>
    <w:p>
      <w:pPr>
        <w:pStyle w:val="TextBody"/>
        <w:bidi w:val="0"/>
        <w:spacing w:before="0" w:after="0"/>
        <w:jc w:val="center"/>
        <w:rPr>
          <w:sz w:val="20"/>
        </w:rPr>
      </w:pPr>
      <w:r>
        <w:rPr>
          <w:b/>
          <w:sz w:val="20"/>
        </w:rPr>
        <w:t>U.S. DOLLARS IN THOUSANDS</w:t>
      </w:r>
      <w:r>
        <w:rPr>
          <w:sz w:val="20"/>
        </w:rPr>
        <w:t xml:space="preserve"> </w:t>
      </w:r>
    </w:p>
    <w:p>
      <w:pPr>
        <w:pStyle w:val="TextBody"/>
        <w:bidi w:val="0"/>
        <w:spacing w:before="0" w:after="283"/>
        <w:jc w:val="left"/>
        <w:rPr/>
      </w:pPr>
      <w:r>
        <w:rPr/>
        <w:t> </w:t>
      </w:r>
    </w:p>
    <w:tbl>
      <w:tblPr>
        <w:tblW w:w="8560" w:type="dxa"/>
        <w:jc w:val="left"/>
        <w:tblInd w:w="0" w:type="dxa"/>
        <w:tblLayout w:type="fixed"/>
        <w:tblCellMar>
          <w:top w:w="0" w:type="dxa"/>
          <w:left w:w="0" w:type="dxa"/>
          <w:bottom w:w="0" w:type="dxa"/>
          <w:right w:w="0" w:type="dxa"/>
        </w:tblCellMar>
      </w:tblPr>
      <w:tblGrid>
        <w:gridCol w:w="8075"/>
        <w:gridCol w:w="485"/>
      </w:tblGrid>
      <w:tr>
        <w:trPr/>
        <w:tc>
          <w:tcPr>
            <w:tcW w:w="8075" w:type="dxa"/>
            <w:tcBorders/>
            <w:vAlign w:val="center"/>
          </w:tcPr>
          <w:p>
            <w:pPr>
              <w:pStyle w:val="TableContents"/>
              <w:bidi w:val="0"/>
              <w:spacing w:before="0" w:after="283"/>
              <w:jc w:val="left"/>
              <w:rPr>
                <w:sz w:val="20"/>
              </w:rPr>
            </w:pPr>
            <w:r>
              <w:rPr>
                <w:sz w:val="20"/>
              </w:rPr>
              <w:t>INDEX TO CONDENSED CONSOLIDATED UNAUDITED INTERIM FINANCIAL STATEMENTS</w:t>
            </w:r>
          </w:p>
        </w:tc>
        <w:tc>
          <w:tcPr>
            <w:tcW w:w="48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80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Page</w:t>
            </w:r>
          </w:p>
        </w:tc>
      </w:tr>
      <w:tr>
        <w:trPr/>
        <w:tc>
          <w:tcPr>
            <w:tcW w:w="8075" w:type="dxa"/>
            <w:tcBorders/>
            <w:tcMar>
              <w:top w:w="30" w:type="dxa"/>
              <w:left w:w="30" w:type="dxa"/>
              <w:bottom w:w="30" w:type="dxa"/>
              <w:right w:w="30" w:type="dxa"/>
            </w:tcMar>
            <w:vAlign w:val="center"/>
          </w:tcPr>
          <w:p>
            <w:pPr>
              <w:pStyle w:val="TableContents"/>
              <w:bidi w:val="0"/>
              <w:spacing w:before="0" w:after="283"/>
              <w:ind w:left="34" w:right="0" w:hanging="0"/>
              <w:jc w:val="left"/>
              <w:rPr/>
            </w:pPr>
            <w:hyperlink w:anchor="fs_fp">
              <w:r>
                <w:rPr>
                  <w:rStyle w:val="InternetLink"/>
                  <w:sz w:val="20"/>
                </w:rPr>
                <w:t>Condensed consolidated unaudited interim Statements of Financial Position</w:t>
              </w:r>
            </w:hyperlink>
          </w:p>
        </w:tc>
        <w:tc>
          <w:tcPr>
            <w:tcW w:w="485" w:type="dxa"/>
            <w:tcBorders/>
            <w:tcMar>
              <w:top w:w="30" w:type="dxa"/>
              <w:left w:w="30" w:type="dxa"/>
              <w:bottom w:w="30" w:type="dxa"/>
              <w:right w:w="30" w:type="dxa"/>
            </w:tcMar>
            <w:vAlign w:val="center"/>
          </w:tcPr>
          <w:p>
            <w:pPr>
              <w:pStyle w:val="TableContents"/>
              <w:bidi w:val="0"/>
              <w:spacing w:before="0" w:after="283"/>
              <w:ind w:left="43" w:right="42" w:hanging="0"/>
              <w:jc w:val="center"/>
              <w:rPr/>
            </w:pPr>
            <w:hyperlink w:anchor="fs_fp">
              <w:r>
                <w:rPr>
                  <w:rStyle w:val="InternetLink"/>
                  <w:sz w:val="20"/>
                </w:rPr>
                <w:t>2</w:t>
              </w:r>
            </w:hyperlink>
          </w:p>
        </w:tc>
      </w:tr>
      <w:tr>
        <w:trPr/>
        <w:tc>
          <w:tcPr>
            <w:tcW w:w="8075" w:type="dxa"/>
            <w:tcBorders/>
            <w:vAlign w:val="center"/>
          </w:tcPr>
          <w:p>
            <w:pPr>
              <w:pStyle w:val="TableContents"/>
              <w:bidi w:val="0"/>
              <w:spacing w:before="0" w:after="283"/>
              <w:jc w:val="left"/>
              <w:rPr/>
            </w:pPr>
            <w:hyperlink w:anchor="fs_ci">
              <w:r>
                <w:rPr>
                  <w:rStyle w:val="InternetLink"/>
                  <w:sz w:val="20"/>
                </w:rPr>
                <w:t>Condensed consolidated unaudited interim Statement of Comprehensive Income</w:t>
              </w:r>
            </w:hyperlink>
          </w:p>
        </w:tc>
        <w:tc>
          <w:tcPr>
            <w:tcW w:w="485" w:type="dxa"/>
            <w:tcBorders/>
            <w:vAlign w:val="center"/>
          </w:tcPr>
          <w:p>
            <w:pPr>
              <w:pStyle w:val="TableContents"/>
              <w:bidi w:val="0"/>
              <w:spacing w:before="0" w:after="283"/>
              <w:jc w:val="center"/>
              <w:rPr/>
            </w:pPr>
            <w:hyperlink w:anchor="fs_ci">
              <w:r>
                <w:rPr>
                  <w:rStyle w:val="InternetLink"/>
                  <w:sz w:val="20"/>
                </w:rPr>
                <w:t>3</w:t>
              </w:r>
            </w:hyperlink>
          </w:p>
        </w:tc>
      </w:tr>
      <w:tr>
        <w:trPr/>
        <w:tc>
          <w:tcPr>
            <w:tcW w:w="8075" w:type="dxa"/>
            <w:tcBorders/>
            <w:vAlign w:val="center"/>
          </w:tcPr>
          <w:p>
            <w:pPr>
              <w:pStyle w:val="TableContents"/>
              <w:bidi w:val="0"/>
              <w:spacing w:before="0" w:after="283"/>
              <w:jc w:val="left"/>
              <w:rPr/>
            </w:pPr>
            <w:hyperlink w:anchor="fs_equity">
              <w:r>
                <w:rPr>
                  <w:rStyle w:val="InternetLink"/>
                  <w:sz w:val="20"/>
                </w:rPr>
                <w:t>Condensed consolidated unaudited interim Statements of Changes in Equity</w:t>
              </w:r>
            </w:hyperlink>
          </w:p>
        </w:tc>
        <w:tc>
          <w:tcPr>
            <w:tcW w:w="485" w:type="dxa"/>
            <w:tcBorders/>
            <w:vAlign w:val="center"/>
          </w:tcPr>
          <w:p>
            <w:pPr>
              <w:pStyle w:val="TableContents"/>
              <w:bidi w:val="0"/>
              <w:spacing w:before="0" w:after="283"/>
              <w:jc w:val="center"/>
              <w:rPr/>
            </w:pPr>
            <w:hyperlink w:anchor="fs_equity">
              <w:r>
                <w:rPr>
                  <w:rStyle w:val="InternetLink"/>
                  <w:sz w:val="20"/>
                </w:rPr>
                <w:t>4</w:t>
              </w:r>
            </w:hyperlink>
          </w:p>
        </w:tc>
      </w:tr>
      <w:tr>
        <w:trPr/>
        <w:tc>
          <w:tcPr>
            <w:tcW w:w="8075" w:type="dxa"/>
            <w:tcBorders/>
            <w:vAlign w:val="center"/>
          </w:tcPr>
          <w:p>
            <w:pPr>
              <w:pStyle w:val="TableContents"/>
              <w:bidi w:val="0"/>
              <w:spacing w:before="0" w:after="283"/>
              <w:jc w:val="left"/>
              <w:rPr/>
            </w:pPr>
            <w:hyperlink w:anchor="fs_cf">
              <w:r>
                <w:rPr>
                  <w:rStyle w:val="InternetLink"/>
                  <w:sz w:val="20"/>
                </w:rPr>
                <w:t>Condensed consolidated unaudited interim Statements of Cash Flows</w:t>
              </w:r>
            </w:hyperlink>
          </w:p>
        </w:tc>
        <w:tc>
          <w:tcPr>
            <w:tcW w:w="485" w:type="dxa"/>
            <w:tcBorders/>
            <w:vAlign w:val="center"/>
          </w:tcPr>
          <w:p>
            <w:pPr>
              <w:pStyle w:val="TableContents"/>
              <w:bidi w:val="0"/>
              <w:spacing w:before="0" w:after="283"/>
              <w:jc w:val="center"/>
              <w:rPr/>
            </w:pPr>
            <w:hyperlink w:anchor="fs_cf">
              <w:r>
                <w:rPr>
                  <w:rStyle w:val="InternetLink"/>
                  <w:sz w:val="20"/>
                </w:rPr>
                <w:t>5</w:t>
              </w:r>
            </w:hyperlink>
          </w:p>
        </w:tc>
      </w:tr>
      <w:tr>
        <w:trPr/>
        <w:tc>
          <w:tcPr>
            <w:tcW w:w="8075" w:type="dxa"/>
            <w:tcBorders/>
            <w:vAlign w:val="center"/>
          </w:tcPr>
          <w:p>
            <w:pPr>
              <w:pStyle w:val="TableContents"/>
              <w:bidi w:val="0"/>
              <w:spacing w:before="0" w:after="283"/>
              <w:jc w:val="left"/>
              <w:rPr/>
            </w:pPr>
            <w:hyperlink w:anchor="notes">
              <w:r>
                <w:rPr>
                  <w:rStyle w:val="InternetLink"/>
                  <w:sz w:val="20"/>
                </w:rPr>
                <w:t>Notes to the condensed consolidated unaudited interim Financial Statements</w:t>
              </w:r>
            </w:hyperlink>
          </w:p>
        </w:tc>
        <w:tc>
          <w:tcPr>
            <w:tcW w:w="485" w:type="dxa"/>
            <w:tcBorders/>
            <w:vAlign w:val="center"/>
          </w:tcPr>
          <w:p>
            <w:pPr>
              <w:pStyle w:val="TableContents"/>
              <w:bidi w:val="0"/>
              <w:spacing w:before="0" w:after="283"/>
              <w:jc w:val="center"/>
              <w:rPr/>
            </w:pPr>
            <w:hyperlink w:anchor="notes">
              <w:r>
                <w:rPr>
                  <w:rStyle w:val="InternetLink"/>
                  <w:sz w:val="20"/>
                </w:rPr>
                <w:t>6</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74" w:after="74"/>
        <w:ind w:left="74" w:right="74" w:hanging="0"/>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81" w:after="81"/>
        <w:ind w:left="907" w:right="899" w:hanging="0"/>
        <w:jc w:val="center"/>
        <w:rPr>
          <w:b/>
          <w:sz w:val="20"/>
        </w:rPr>
      </w:pPr>
      <w:bookmarkStart w:id="14" w:name="fs_fp"/>
      <w:bookmarkEnd w:id="14"/>
      <w:r>
        <w:rPr>
          <w:b/>
          <w:sz w:val="20"/>
        </w:rPr>
        <w:t>BRAINSWAY LTD. AND SUBSIDIARIES</w:t>
      </w:r>
    </w:p>
    <w:p>
      <w:pPr>
        <w:pStyle w:val="TextBody"/>
        <w:bidi w:val="0"/>
        <w:spacing w:before="18" w:after="18"/>
        <w:ind w:left="907" w:right="899" w:hanging="0"/>
        <w:jc w:val="center"/>
        <w:rPr>
          <w:b/>
          <w:sz w:val="20"/>
        </w:rPr>
      </w:pPr>
      <w:r>
        <w:rPr>
          <w:b/>
          <w:sz w:val="20"/>
        </w:rPr>
        <w:t>CONDENSED CONSOLIDATED UNAUDITED INTERIM STATEMENTS OF FINANCIAL POSITION</w:t>
      </w:r>
    </w:p>
    <w:p>
      <w:pPr>
        <w:pStyle w:val="TextBody"/>
        <w:bidi w:val="0"/>
        <w:spacing w:before="0" w:after="0"/>
        <w:ind w:left="0" w:right="0" w:hanging="0"/>
        <w:jc w:val="left"/>
        <w:rPr/>
      </w:pPr>
      <w:r>
        <w:rPr/>
        <w:t> </w:t>
      </w:r>
    </w:p>
    <w:p>
      <w:pPr>
        <w:pStyle w:val="TextBody"/>
        <w:bidi w:val="0"/>
        <w:spacing w:before="1" w:after="283"/>
        <w:jc w:val="center"/>
        <w:rPr>
          <w:b/>
          <w:sz w:val="20"/>
        </w:rPr>
      </w:pPr>
      <w:r>
        <w:rPr>
          <w:b/>
          <w:sz w:val="20"/>
        </w:rPr>
        <w:t>U.S. dollars in thousands (except share and per share data)</w:t>
      </w:r>
    </w:p>
    <w:p>
      <w:pPr>
        <w:pStyle w:val="TextBody"/>
        <w:bidi w:val="0"/>
        <w:spacing w:before="118" w:after="1"/>
        <w:ind w:left="118" w:right="118" w:hanging="0"/>
        <w:jc w:val="left"/>
        <w:rPr/>
      </w:pPr>
      <w:r>
        <w:rPr/>
        <w:t> </w:t>
      </w:r>
    </w:p>
    <w:p>
      <w:pPr>
        <w:pStyle w:val="Normal"/>
        <w:bidi w:val="0"/>
        <w:spacing w:before="0" w:after="0"/>
        <w:jc w:val="left"/>
        <w:rPr>
          <w:sz w:val="4"/>
          <w:szCs w:val="4"/>
        </w:rPr>
      </w:pPr>
      <w:r>
        <w:rPr>
          <w:sz w:val="4"/>
          <w:szCs w:val="4"/>
        </w:rPr>
      </w:r>
      <w:bookmarkStart w:id="15" w:name="xdx_301_111_pn3n3_z398mKYGx4Xe"/>
      <w:bookmarkStart w:id="16" w:name="xdx_301_111_pn3n3_z398mKYGx4Xe"/>
      <w:bookmarkEnd w:id="16"/>
    </w:p>
    <w:tbl>
      <w:tblPr>
        <w:tblW w:w="10205" w:type="dxa"/>
        <w:jc w:val="left"/>
        <w:tblInd w:w="0" w:type="dxa"/>
        <w:tblLayout w:type="fixed"/>
        <w:tblCellMar>
          <w:top w:w="0" w:type="dxa"/>
          <w:left w:w="0" w:type="dxa"/>
          <w:bottom w:w="0" w:type="dxa"/>
          <w:right w:w="0" w:type="dxa"/>
        </w:tblCellMar>
      </w:tblPr>
      <w:tblGrid>
        <w:gridCol w:w="7308"/>
        <w:gridCol w:w="60"/>
        <w:gridCol w:w="100"/>
        <w:gridCol w:w="209"/>
        <w:gridCol w:w="101"/>
        <w:gridCol w:w="60"/>
        <w:gridCol w:w="85"/>
        <w:gridCol w:w="853"/>
        <w:gridCol w:w="96"/>
        <w:gridCol w:w="60"/>
        <w:gridCol w:w="173"/>
        <w:gridCol w:w="966"/>
        <w:gridCol w:w="134"/>
      </w:tblGrid>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bookmarkStart w:id="17" w:name="xdx_494_20260630_zvvxq5gx93Id"/>
            <w:bookmarkEnd w:id="17"/>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18" w:name="xdx_499_20251231_zMVOcajvljbe"/>
            <w:bookmarkEnd w:id="18"/>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r>
      <w:tr>
        <w:trPr/>
        <w:tc>
          <w:tcPr>
            <w:tcW w:w="7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3"/>
            <w:tcBorders/>
            <w:vAlign w:val="center"/>
          </w:tcPr>
          <w:p>
            <w:pPr>
              <w:pStyle w:val="TableContents"/>
              <w:bidi w:val="0"/>
              <w:spacing w:before="0" w:after="283"/>
              <w:jc w:val="center"/>
              <w:rPr>
                <w:b/>
                <w:sz w:val="20"/>
              </w:rPr>
            </w:pPr>
            <w:r>
              <w:rPr>
                <w:b/>
                <w:sz w:val="20"/>
              </w:rPr>
              <w:t>Note</w:t>
            </w:r>
          </w:p>
        </w:tc>
        <w:tc>
          <w:tcPr>
            <w:tcW w:w="60" w:type="dxa"/>
            <w:tcBorders/>
            <w:vAlign w:val="center"/>
          </w:tcPr>
          <w:p>
            <w:pPr>
              <w:pStyle w:val="TableContents"/>
              <w:bidi w:val="0"/>
              <w:spacing w:before="0" w:after="283"/>
              <w:jc w:val="left"/>
              <w:rPr/>
            </w:pPr>
            <w:r>
              <w:rPr/>
              <w:t> </w:t>
            </w:r>
          </w:p>
        </w:tc>
        <w:tc>
          <w:tcPr>
            <w:tcW w:w="103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27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7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127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Audited</w:t>
            </w:r>
            <w:bookmarkStart w:id="19" w:name="xdx_405_eifrs-full--AssetsAbstract_iB_zT"/>
            <w:bookmarkEnd w:id="19"/>
          </w:p>
        </w:tc>
      </w:tr>
      <w:tr>
        <w:trPr/>
        <w:tc>
          <w:tcPr>
            <w:tcW w:w="7308" w:type="dxa"/>
            <w:tcBorders/>
            <w:shd w:fill="CCEEFF" w:val="clear"/>
            <w:vAlign w:val="center"/>
          </w:tcPr>
          <w:p>
            <w:pPr>
              <w:pStyle w:val="TableContents"/>
              <w:bidi w:val="0"/>
              <w:spacing w:before="0" w:after="283"/>
              <w:jc w:val="center"/>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bookmarkStart w:id="20" w:name="xdx_402_eifrs-full--CurrentAssetsAbstrac"/>
            <w:bookmarkEnd w:id="20"/>
          </w:p>
        </w:tc>
      </w:tr>
      <w:tr>
        <w:trPr/>
        <w:tc>
          <w:tcPr>
            <w:tcW w:w="7308"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bookmarkStart w:id="21" w:name="xdx_400_eifrs-full--CashAndCashEquivalen"/>
            <w:bookmarkEnd w:id="21"/>
          </w:p>
        </w:tc>
      </w:tr>
      <w:tr>
        <w:trPr/>
        <w:tc>
          <w:tcPr>
            <w:tcW w:w="7308"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62,108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67,700</w:t>
            </w:r>
          </w:p>
        </w:tc>
        <w:tc>
          <w:tcPr>
            <w:tcW w:w="134" w:type="dxa"/>
            <w:tcBorders/>
            <w:shd w:fill="CCEEFF" w:val="clear"/>
            <w:vAlign w:val="center"/>
          </w:tcPr>
          <w:p>
            <w:pPr>
              <w:pStyle w:val="TableContents"/>
              <w:bidi w:val="0"/>
              <w:spacing w:before="0" w:after="283"/>
              <w:jc w:val="left"/>
              <w:rPr/>
            </w:pPr>
            <w:r>
              <w:rPr/>
              <w:t> </w:t>
            </w:r>
            <w:bookmarkStart w:id="22" w:name="xdx_406_eifrs-full--RestrictedCashAndCas"/>
            <w:bookmarkEnd w:id="22"/>
          </w:p>
        </w:tc>
      </w:tr>
      <w:tr>
        <w:trPr/>
        <w:tc>
          <w:tcPr>
            <w:tcW w:w="7308"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251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251</w:t>
            </w:r>
          </w:p>
        </w:tc>
        <w:tc>
          <w:tcPr>
            <w:tcW w:w="134" w:type="dxa"/>
            <w:tcBorders/>
            <w:shd w:fill="FFFFFF" w:val="clear"/>
            <w:vAlign w:val="center"/>
          </w:tcPr>
          <w:p>
            <w:pPr>
              <w:pStyle w:val="TableContents"/>
              <w:bidi w:val="0"/>
              <w:spacing w:before="0" w:after="283"/>
              <w:jc w:val="left"/>
              <w:rPr/>
            </w:pPr>
            <w:r>
              <w:rPr/>
              <w:t> </w:t>
            </w:r>
            <w:bookmarkStart w:id="23" w:name="xdx_402_eifrs-full--TradeReceivables_iI_"/>
            <w:bookmarkEnd w:id="23"/>
          </w:p>
        </w:tc>
      </w:tr>
      <w:tr>
        <w:trPr/>
        <w:tc>
          <w:tcPr>
            <w:tcW w:w="7308"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7,032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4,111</w:t>
            </w:r>
          </w:p>
        </w:tc>
        <w:tc>
          <w:tcPr>
            <w:tcW w:w="134" w:type="dxa"/>
            <w:tcBorders/>
            <w:shd w:fill="CCEEFF" w:val="clear"/>
            <w:vAlign w:val="center"/>
          </w:tcPr>
          <w:p>
            <w:pPr>
              <w:pStyle w:val="TableContents"/>
              <w:bidi w:val="0"/>
              <w:spacing w:before="0" w:after="283"/>
              <w:jc w:val="left"/>
              <w:rPr/>
            </w:pPr>
            <w:r>
              <w:rPr/>
              <w:t> </w:t>
            </w:r>
            <w:bookmarkStart w:id="24" w:name="xdx_40D_eifrs-full--Inventories_iI_maCz5"/>
            <w:bookmarkEnd w:id="24"/>
          </w:p>
        </w:tc>
      </w:tr>
      <w:tr>
        <w:trPr/>
        <w:tc>
          <w:tcPr>
            <w:tcW w:w="7308" w:type="dxa"/>
            <w:tcBorders/>
            <w:shd w:fill="FFFFFF" w:val="clear"/>
            <w:vAlign w:val="center"/>
          </w:tcPr>
          <w:p>
            <w:pPr>
              <w:pStyle w:val="TableContents"/>
              <w:bidi w:val="0"/>
              <w:spacing w:before="0" w:after="283"/>
              <w:jc w:val="left"/>
              <w:rPr>
                <w:sz w:val="20"/>
              </w:rPr>
            </w:pPr>
            <w:r>
              <w:rPr>
                <w:sz w:val="20"/>
              </w:rPr>
              <w:t>Inventory, net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sz w:val="20"/>
              </w:rPr>
            </w:pPr>
            <w:r>
              <w:rPr>
                <w:sz w:val="20"/>
              </w:rPr>
              <w:t>3</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7,310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6,523</w:t>
            </w:r>
          </w:p>
        </w:tc>
        <w:tc>
          <w:tcPr>
            <w:tcW w:w="134" w:type="dxa"/>
            <w:tcBorders/>
            <w:shd w:fill="FFFFFF" w:val="clear"/>
            <w:vAlign w:val="center"/>
          </w:tcPr>
          <w:p>
            <w:pPr>
              <w:pStyle w:val="TableContents"/>
              <w:bidi w:val="0"/>
              <w:spacing w:before="0" w:after="283"/>
              <w:jc w:val="left"/>
              <w:rPr/>
            </w:pPr>
            <w:r>
              <w:rPr/>
              <w:t> </w:t>
            </w:r>
            <w:bookmarkStart w:id="25" w:name="xdx_409_eifrs-full--OtherCurrentFinancia"/>
            <w:bookmarkEnd w:id="25"/>
          </w:p>
        </w:tc>
      </w:tr>
      <w:tr>
        <w:trPr/>
        <w:tc>
          <w:tcPr>
            <w:tcW w:w="7308" w:type="dxa"/>
            <w:tcBorders/>
            <w:shd w:fill="CCEEFF" w:val="clear"/>
            <w:vAlign w:val="center"/>
          </w:tcPr>
          <w:p>
            <w:pPr>
              <w:pStyle w:val="TableContents"/>
              <w:bidi w:val="0"/>
              <w:spacing w:before="0" w:after="283"/>
              <w:jc w:val="left"/>
              <w:rPr>
                <w:sz w:val="20"/>
              </w:rPr>
            </w:pPr>
            <w:r>
              <w:rPr>
                <w:sz w:val="20"/>
              </w:rPr>
              <w:t>Other current financial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1,060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1,432</w:t>
            </w:r>
          </w:p>
        </w:tc>
        <w:tc>
          <w:tcPr>
            <w:tcW w:w="134" w:type="dxa"/>
            <w:tcBorders/>
            <w:shd w:fill="CCEEFF" w:val="clear"/>
            <w:vAlign w:val="center"/>
          </w:tcPr>
          <w:p>
            <w:pPr>
              <w:pStyle w:val="TableContents"/>
              <w:bidi w:val="0"/>
              <w:spacing w:before="0" w:after="283"/>
              <w:jc w:val="left"/>
              <w:rPr/>
            </w:pPr>
            <w:r>
              <w:rPr/>
              <w:t> </w:t>
            </w:r>
            <w:bookmarkStart w:id="26" w:name="xdx_406_eifrs-full--OtherCurrentAssets_i"/>
            <w:bookmarkEnd w:id="26"/>
          </w:p>
        </w:tc>
      </w:tr>
      <w:tr>
        <w:trPr/>
        <w:tc>
          <w:tcPr>
            <w:tcW w:w="7308" w:type="dxa"/>
            <w:tcBorders/>
            <w:shd w:fill="FFFFFF" w:val="clear"/>
            <w:vAlign w:val="center"/>
          </w:tcPr>
          <w:p>
            <w:pPr>
              <w:pStyle w:val="TableContents"/>
              <w:bidi w:val="0"/>
              <w:spacing w:before="0" w:after="283"/>
              <w:jc w:val="left"/>
              <w:rPr>
                <w:sz w:val="20"/>
              </w:rPr>
            </w:pPr>
            <w:r>
              <w:rPr>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3,663</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3,807</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 w:name="xdx_404_eifrs-full--CurrentAssets_iTI_mt"/>
            <w:bookmarkEnd w:id="27"/>
          </w:p>
        </w:tc>
      </w:tr>
      <w:tr>
        <w:trPr/>
        <w:tc>
          <w:tcPr>
            <w:tcW w:w="7308"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81,424</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83,824</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bookmarkStart w:id="28" w:name="xdx_401_eifrs-full--NoncurrentAssetsAbst"/>
            <w:bookmarkEnd w:id="28"/>
          </w:p>
        </w:tc>
      </w:tr>
      <w:tr>
        <w:trPr/>
        <w:tc>
          <w:tcPr>
            <w:tcW w:w="7308" w:type="dxa"/>
            <w:tcBorders/>
            <w:shd w:fill="CCEEFF" w:val="clear"/>
            <w:vAlign w:val="center"/>
          </w:tcPr>
          <w:p>
            <w:pPr>
              <w:pStyle w:val="TableContents"/>
              <w:bidi w:val="0"/>
              <w:spacing w:before="0" w:after="283"/>
              <w:jc w:val="left"/>
              <w:rPr>
                <w:sz w:val="20"/>
              </w:rPr>
            </w:pPr>
            <w:r>
              <w:rPr>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bookmarkStart w:id="29" w:name="xdx_402_ecustom--SystemComponents_iI_maC"/>
            <w:bookmarkEnd w:id="29"/>
          </w:p>
        </w:tc>
      </w:tr>
      <w:tr>
        <w:trPr/>
        <w:tc>
          <w:tcPr>
            <w:tcW w:w="7308" w:type="dxa"/>
            <w:tcBorders/>
            <w:shd w:fill="FFFFFF" w:val="clear"/>
            <w:vAlign w:val="center"/>
          </w:tcPr>
          <w:p>
            <w:pPr>
              <w:pStyle w:val="TableContents"/>
              <w:bidi w:val="0"/>
              <w:spacing w:before="0" w:after="283"/>
              <w:jc w:val="left"/>
              <w:rPr>
                <w:sz w:val="20"/>
              </w:rPr>
            </w:pPr>
            <w:r>
              <w:rPr>
                <w:sz w:val="20"/>
              </w:rPr>
              <w:t>System components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sz w:val="20"/>
              </w:rPr>
            </w:pPr>
            <w:r>
              <w:rPr>
                <w:sz w:val="20"/>
              </w:rPr>
              <w:t>4</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2,073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1,584</w:t>
            </w:r>
          </w:p>
        </w:tc>
        <w:tc>
          <w:tcPr>
            <w:tcW w:w="134" w:type="dxa"/>
            <w:tcBorders/>
            <w:shd w:fill="FFFFFF" w:val="clear"/>
            <w:vAlign w:val="center"/>
          </w:tcPr>
          <w:p>
            <w:pPr>
              <w:pStyle w:val="TableContents"/>
              <w:bidi w:val="0"/>
              <w:spacing w:before="0" w:after="283"/>
              <w:jc w:val="left"/>
              <w:rPr/>
            </w:pPr>
            <w:r>
              <w:rPr/>
              <w:t> </w:t>
            </w:r>
            <w:bookmarkStart w:id="30" w:name="xdx_40B_eifrs-full--NoncurrentLeasePrepa"/>
            <w:bookmarkEnd w:id="30"/>
          </w:p>
        </w:tc>
      </w:tr>
      <w:tr>
        <w:trPr/>
        <w:tc>
          <w:tcPr>
            <w:tcW w:w="7308" w:type="dxa"/>
            <w:tcBorders/>
            <w:shd w:fill="CCEEFF" w:val="clear"/>
            <w:vAlign w:val="center"/>
          </w:tcPr>
          <w:p>
            <w:pPr>
              <w:pStyle w:val="TableContents"/>
              <w:bidi w:val="0"/>
              <w:spacing w:before="0" w:after="283"/>
              <w:jc w:val="left"/>
              <w:rPr>
                <w:sz w:val="20"/>
              </w:rPr>
            </w:pPr>
            <w:r>
              <w:rPr>
                <w:sz w:val="20"/>
              </w:rPr>
              <w:t>Leased systems, net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sz w:val="20"/>
              </w:rPr>
            </w:pPr>
            <w:r>
              <w:rPr>
                <w:sz w:val="20"/>
              </w:rPr>
              <w:t>4</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5,153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4,860</w:t>
            </w:r>
          </w:p>
        </w:tc>
        <w:tc>
          <w:tcPr>
            <w:tcW w:w="134" w:type="dxa"/>
            <w:tcBorders/>
            <w:shd w:fill="CCEEFF" w:val="clear"/>
            <w:vAlign w:val="center"/>
          </w:tcPr>
          <w:p>
            <w:pPr>
              <w:pStyle w:val="TableContents"/>
              <w:bidi w:val="0"/>
              <w:spacing w:before="0" w:after="283"/>
              <w:jc w:val="left"/>
              <w:rPr/>
            </w:pPr>
            <w:r>
              <w:rPr/>
              <w:t> </w:t>
            </w:r>
            <w:bookmarkStart w:id="31" w:name="xdx_400_ecustom--OtherPropertyAndEquipme"/>
            <w:bookmarkEnd w:id="31"/>
          </w:p>
        </w:tc>
      </w:tr>
      <w:tr>
        <w:trPr/>
        <w:tc>
          <w:tcPr>
            <w:tcW w:w="7308" w:type="dxa"/>
            <w:tcBorders/>
            <w:shd w:fill="FFFFFF" w:val="clear"/>
            <w:vAlign w:val="center"/>
          </w:tcPr>
          <w:p>
            <w:pPr>
              <w:pStyle w:val="TableContents"/>
              <w:bidi w:val="0"/>
              <w:spacing w:before="0" w:after="283"/>
              <w:jc w:val="left"/>
              <w:rPr>
                <w:sz w:val="20"/>
              </w:rPr>
            </w:pPr>
            <w:r>
              <w:rPr>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sz w:val="20"/>
              </w:rPr>
            </w:pPr>
            <w:r>
              <w:rPr>
                <w:sz w:val="20"/>
              </w:rPr>
              <w:t>4</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868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788</w:t>
            </w:r>
          </w:p>
        </w:tc>
        <w:tc>
          <w:tcPr>
            <w:tcW w:w="134" w:type="dxa"/>
            <w:tcBorders/>
            <w:shd w:fill="FFFFFF" w:val="clear"/>
            <w:vAlign w:val="center"/>
          </w:tcPr>
          <w:p>
            <w:pPr>
              <w:pStyle w:val="TableContents"/>
              <w:bidi w:val="0"/>
              <w:spacing w:before="0" w:after="283"/>
              <w:jc w:val="left"/>
              <w:rPr/>
            </w:pPr>
            <w:r>
              <w:rPr/>
              <w:t> </w:t>
            </w:r>
            <w:bookmarkStart w:id="32" w:name="xdx_40B_eifrs-full--RightofuseAssets_iI_"/>
            <w:bookmarkEnd w:id="32"/>
          </w:p>
        </w:tc>
      </w:tr>
      <w:tr>
        <w:trPr/>
        <w:tc>
          <w:tcPr>
            <w:tcW w:w="7308" w:type="dxa"/>
            <w:tcBorders/>
            <w:shd w:fill="CCEEFF" w:val="clear"/>
            <w:vAlign w:val="center"/>
          </w:tcPr>
          <w:p>
            <w:pPr>
              <w:pStyle w:val="TableContents"/>
              <w:bidi w:val="0"/>
              <w:spacing w:before="0" w:after="283"/>
              <w:jc w:val="left"/>
              <w:rPr>
                <w:sz w:val="20"/>
              </w:rPr>
            </w:pPr>
            <w:r>
              <w:rPr>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5,294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5,548</w:t>
            </w:r>
          </w:p>
        </w:tc>
        <w:tc>
          <w:tcPr>
            <w:tcW w:w="134" w:type="dxa"/>
            <w:tcBorders/>
            <w:shd w:fill="CCEEFF" w:val="clear"/>
            <w:vAlign w:val="center"/>
          </w:tcPr>
          <w:p>
            <w:pPr>
              <w:pStyle w:val="TableContents"/>
              <w:bidi w:val="0"/>
              <w:spacing w:before="0" w:after="283"/>
              <w:jc w:val="left"/>
              <w:rPr/>
            </w:pPr>
            <w:r>
              <w:rPr/>
              <w:t> </w:t>
            </w:r>
            <w:bookmarkStart w:id="33" w:name="xdx_40C_eifrs-full--LongtermDeposits_iI_"/>
            <w:bookmarkEnd w:id="33"/>
          </w:p>
        </w:tc>
      </w:tr>
      <w:tr>
        <w:trPr/>
        <w:tc>
          <w:tcPr>
            <w:tcW w:w="7308" w:type="dxa"/>
            <w:tcBorders/>
            <w:shd w:fill="FFFFFF" w:val="clear"/>
            <w:vAlign w:val="center"/>
          </w:tcPr>
          <w:p>
            <w:pPr>
              <w:pStyle w:val="TableContents"/>
              <w:bidi w:val="0"/>
              <w:spacing w:before="0" w:after="283"/>
              <w:jc w:val="left"/>
              <w:rPr>
                <w:sz w:val="20"/>
              </w:rPr>
            </w:pPr>
            <w:r>
              <w:rPr>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2,163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1,931</w:t>
            </w:r>
          </w:p>
        </w:tc>
        <w:tc>
          <w:tcPr>
            <w:tcW w:w="134" w:type="dxa"/>
            <w:tcBorders/>
            <w:shd w:fill="FFFFFF" w:val="clear"/>
            <w:vAlign w:val="center"/>
          </w:tcPr>
          <w:p>
            <w:pPr>
              <w:pStyle w:val="TableContents"/>
              <w:bidi w:val="0"/>
              <w:spacing w:before="0" w:after="283"/>
              <w:jc w:val="left"/>
              <w:rPr/>
            </w:pPr>
            <w:r>
              <w:rPr/>
              <w:t> </w:t>
            </w:r>
            <w:bookmarkStart w:id="34" w:name="xdx_40D_eifrs-full--OtherNoncurrentFinan"/>
            <w:bookmarkEnd w:id="34"/>
          </w:p>
        </w:tc>
      </w:tr>
      <w:tr>
        <w:trPr/>
        <w:tc>
          <w:tcPr>
            <w:tcW w:w="7308" w:type="dxa"/>
            <w:tcBorders/>
            <w:shd w:fill="CCEEFF" w:val="clear"/>
            <w:vAlign w:val="center"/>
          </w:tcPr>
          <w:p>
            <w:pPr>
              <w:pStyle w:val="TableContents"/>
              <w:bidi w:val="0"/>
              <w:spacing w:before="0" w:after="283"/>
              <w:jc w:val="left"/>
              <w:rPr>
                <w:sz w:val="20"/>
              </w:rPr>
            </w:pPr>
            <w:r>
              <w:rPr>
                <w:sz w:val="20"/>
              </w:rPr>
              <w:t>Other non-current financial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sz w:val="20"/>
              </w:rPr>
            </w:pPr>
            <w:r>
              <w:rPr>
                <w:sz w:val="20"/>
              </w:rPr>
              <w:t>5</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25,000</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14,656</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 w:name="xdx_40D_eifrs-full--NoncurrentAssets_iTI"/>
            <w:bookmarkEnd w:id="35"/>
          </w:p>
        </w:tc>
      </w:tr>
      <w:tr>
        <w:trPr/>
        <w:tc>
          <w:tcPr>
            <w:tcW w:w="7308" w:type="dxa"/>
            <w:tcBorders/>
            <w:shd w:fill="FFFFFF" w:val="clear"/>
            <w:vAlign w:val="center"/>
          </w:tcPr>
          <w:p>
            <w:pPr>
              <w:pStyle w:val="TableContents"/>
              <w:bidi w:val="0"/>
              <w:spacing w:before="0" w:after="283"/>
              <w:jc w:val="left"/>
              <w:rPr>
                <w:sz w:val="20"/>
              </w:rPr>
            </w:pPr>
            <w:r>
              <w:rPr>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40,551</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29,367</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 w:name="xdx_409_eifrs-full--Assets_iTI_mtCzyr7_z"/>
            <w:bookmarkEnd w:id="36"/>
          </w:p>
        </w:tc>
      </w:tr>
      <w:tr>
        <w:trPr/>
        <w:tc>
          <w:tcPr>
            <w:tcW w:w="7308"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121,975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113,191</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r>
      <w:tr>
        <w:trPr/>
        <w:tc>
          <w:tcPr>
            <w:tcW w:w="7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center"/>
              <w:rPr/>
            </w:pPr>
            <w:r>
              <w:rPr/>
              <w:t> </w:t>
            </w:r>
          </w:p>
        </w:tc>
        <w:tc>
          <w:tcPr>
            <w:tcW w:w="209"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bookmarkStart w:id="37" w:name="xdx_40D_eifrs-full--EquityAndLiabilities"/>
            <w:bookmarkEnd w:id="37"/>
          </w:p>
        </w:tc>
      </w:tr>
      <w:tr>
        <w:trPr/>
        <w:tc>
          <w:tcPr>
            <w:tcW w:w="7308" w:type="dxa"/>
            <w:tcBorders/>
            <w:shd w:fill="CCEEFF" w:val="clear"/>
            <w:vAlign w:val="center"/>
          </w:tcPr>
          <w:p>
            <w:pPr>
              <w:pStyle w:val="TableContents"/>
              <w:bidi w:val="0"/>
              <w:spacing w:before="0" w:after="283"/>
              <w:jc w:val="center"/>
              <w:rPr>
                <w:sz w:val="20"/>
              </w:rPr>
            </w:pPr>
            <w:r>
              <w:rPr>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bookmarkStart w:id="38" w:name="xdx_408_eifrs-full--CurrentLiabilitiesAb"/>
            <w:bookmarkEnd w:id="38"/>
          </w:p>
        </w:tc>
      </w:tr>
      <w:tr>
        <w:trPr/>
        <w:tc>
          <w:tcPr>
            <w:tcW w:w="7308"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bookmarkStart w:id="39" w:name="xdx_40A_eifrs-full--TradeAndOtherCurrent"/>
            <w:bookmarkEnd w:id="39"/>
          </w:p>
        </w:tc>
      </w:tr>
      <w:tr>
        <w:trPr/>
        <w:tc>
          <w:tcPr>
            <w:tcW w:w="7308" w:type="dxa"/>
            <w:tcBorders/>
            <w:shd w:fill="CCEEFF" w:val="clear"/>
            <w:vAlign w:val="center"/>
          </w:tcPr>
          <w:p>
            <w:pPr>
              <w:pStyle w:val="TableContents"/>
              <w:bidi w:val="0"/>
              <w:spacing w:before="0" w:after="283"/>
              <w:jc w:val="left"/>
              <w:rPr>
                <w:sz w:val="20"/>
              </w:rPr>
            </w:pPr>
            <w:r>
              <w:rPr>
                <w:sz w:val="20"/>
              </w:rPr>
              <w:t>Trade payables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2,503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2,428</w:t>
            </w:r>
          </w:p>
        </w:tc>
        <w:tc>
          <w:tcPr>
            <w:tcW w:w="134" w:type="dxa"/>
            <w:tcBorders/>
            <w:shd w:fill="CCEEFF" w:val="clear"/>
            <w:vAlign w:val="center"/>
          </w:tcPr>
          <w:p>
            <w:pPr>
              <w:pStyle w:val="TableContents"/>
              <w:bidi w:val="0"/>
              <w:spacing w:before="0" w:after="283"/>
              <w:jc w:val="left"/>
              <w:rPr/>
            </w:pPr>
            <w:r>
              <w:rPr/>
              <w:t> </w:t>
            </w:r>
            <w:bookmarkStart w:id="40" w:name="xdx_403_ecustom--DeferredRevenuesCurrent"/>
            <w:bookmarkEnd w:id="40"/>
          </w:p>
        </w:tc>
      </w:tr>
      <w:tr>
        <w:trPr/>
        <w:tc>
          <w:tcPr>
            <w:tcW w:w="7308" w:type="dxa"/>
            <w:tcBorders/>
            <w:shd w:fill="FFFFFF" w:val="clear"/>
            <w:vAlign w:val="center"/>
          </w:tcPr>
          <w:p>
            <w:pPr>
              <w:pStyle w:val="TableContents"/>
              <w:bidi w:val="0"/>
              <w:spacing w:before="0" w:after="283"/>
              <w:jc w:val="left"/>
              <w:rPr>
                <w:sz w:val="20"/>
              </w:rPr>
            </w:pPr>
            <w:r>
              <w:rPr>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10,232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10,551</w:t>
            </w:r>
          </w:p>
        </w:tc>
        <w:tc>
          <w:tcPr>
            <w:tcW w:w="134" w:type="dxa"/>
            <w:tcBorders/>
            <w:shd w:fill="FFFFFF" w:val="clear"/>
            <w:vAlign w:val="center"/>
          </w:tcPr>
          <w:p>
            <w:pPr>
              <w:pStyle w:val="TableContents"/>
              <w:bidi w:val="0"/>
              <w:spacing w:before="0" w:after="283"/>
              <w:jc w:val="left"/>
              <w:rPr/>
            </w:pPr>
            <w:r>
              <w:rPr/>
              <w:t> </w:t>
            </w:r>
            <w:bookmarkStart w:id="41" w:name="xdx_403_eifrs-full--GovernmentGrants_iI_"/>
            <w:bookmarkEnd w:id="41"/>
          </w:p>
        </w:tc>
      </w:tr>
      <w:tr>
        <w:trPr/>
        <w:tc>
          <w:tcPr>
            <w:tcW w:w="7308" w:type="dxa"/>
            <w:tcBorders/>
            <w:shd w:fill="CCEEFF" w:val="clear"/>
            <w:vAlign w:val="center"/>
          </w:tcPr>
          <w:p>
            <w:pPr>
              <w:pStyle w:val="TableContents"/>
              <w:bidi w:val="0"/>
              <w:spacing w:before="0" w:after="283"/>
              <w:jc w:val="left"/>
              <w:rPr>
                <w:sz w:val="20"/>
              </w:rPr>
            </w:pPr>
            <w:r>
              <w:rPr>
                <w:sz w:val="20"/>
              </w:rPr>
              <w:t>Liability in respect of government grants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1,854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1,679</w:t>
            </w:r>
          </w:p>
        </w:tc>
        <w:tc>
          <w:tcPr>
            <w:tcW w:w="134" w:type="dxa"/>
            <w:tcBorders/>
            <w:shd w:fill="CCEEFF" w:val="clear"/>
            <w:vAlign w:val="center"/>
          </w:tcPr>
          <w:p>
            <w:pPr>
              <w:pStyle w:val="TableContents"/>
              <w:bidi w:val="0"/>
              <w:spacing w:before="0" w:after="283"/>
              <w:jc w:val="left"/>
              <w:rPr/>
            </w:pPr>
            <w:r>
              <w:rPr/>
              <w:t> </w:t>
            </w:r>
            <w:bookmarkStart w:id="42" w:name="xdx_402_eifrs-full--CurrentLeaseLiabilit"/>
            <w:bookmarkEnd w:id="42"/>
          </w:p>
        </w:tc>
      </w:tr>
      <w:tr>
        <w:trPr/>
        <w:tc>
          <w:tcPr>
            <w:tcW w:w="7308" w:type="dxa"/>
            <w:tcBorders/>
            <w:shd w:fill="FFFFFF" w:val="clear"/>
            <w:vAlign w:val="center"/>
          </w:tcPr>
          <w:p>
            <w:pPr>
              <w:pStyle w:val="TableContents"/>
              <w:bidi w:val="0"/>
              <w:spacing w:before="0" w:after="283"/>
              <w:jc w:val="left"/>
              <w:rPr>
                <w:sz w:val="20"/>
              </w:rPr>
            </w:pPr>
            <w:r>
              <w:rPr>
                <w:sz w:val="20"/>
              </w:rPr>
              <w:t>Current maturities of lease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1,239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1,075</w:t>
            </w:r>
          </w:p>
        </w:tc>
        <w:tc>
          <w:tcPr>
            <w:tcW w:w="134" w:type="dxa"/>
            <w:tcBorders/>
            <w:shd w:fill="FFFFFF" w:val="clear"/>
            <w:vAlign w:val="center"/>
          </w:tcPr>
          <w:p>
            <w:pPr>
              <w:pStyle w:val="TableContents"/>
              <w:bidi w:val="0"/>
              <w:spacing w:before="0" w:after="283"/>
              <w:jc w:val="left"/>
              <w:rPr/>
            </w:pPr>
            <w:r>
              <w:rPr/>
              <w:t> </w:t>
            </w:r>
            <w:bookmarkStart w:id="43" w:name="xdx_401_eifrs-full--TradeAndOtherCurrent"/>
            <w:bookmarkEnd w:id="43"/>
          </w:p>
        </w:tc>
      </w:tr>
      <w:tr>
        <w:trPr/>
        <w:tc>
          <w:tcPr>
            <w:tcW w:w="7308" w:type="dxa"/>
            <w:tcBorders/>
            <w:shd w:fill="CCEEFF" w:val="clear"/>
            <w:vAlign w:val="center"/>
          </w:tcPr>
          <w:p>
            <w:pPr>
              <w:pStyle w:val="TableContents"/>
              <w:bidi w:val="0"/>
              <w:spacing w:before="0" w:after="283"/>
              <w:jc w:val="left"/>
              <w:rPr>
                <w:sz w:val="20"/>
              </w:rPr>
            </w:pPr>
            <w:r>
              <w:rPr>
                <w:sz w:val="20"/>
              </w:rPr>
              <w:t>Other accounts payable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6,845</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6,762</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 w:name="xdx_40C_eifrs-full--CurrentLiabilities_i"/>
            <w:bookmarkEnd w:id="44"/>
          </w:p>
        </w:tc>
      </w:tr>
      <w:tr>
        <w:trPr/>
        <w:tc>
          <w:tcPr>
            <w:tcW w:w="7308"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22,673</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22,495</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 w:name="xdx_40F_eifrs-full--NoncurrentLiabilitie"/>
            <w:bookmarkEnd w:id="45"/>
          </w:p>
        </w:tc>
      </w:tr>
      <w:tr>
        <w:trPr/>
        <w:tc>
          <w:tcPr>
            <w:tcW w:w="7308" w:type="dxa"/>
            <w:tcBorders/>
            <w:shd w:fill="CCEEFF" w:val="clear"/>
            <w:vAlign w:val="center"/>
          </w:tcPr>
          <w:p>
            <w:pPr>
              <w:pStyle w:val="TableContents"/>
              <w:bidi w:val="0"/>
              <w:spacing w:before="0" w:after="283"/>
              <w:jc w:val="left"/>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bookmarkStart w:id="46" w:name="xdx_40C_ecustom--DeferredRevenuesNonCurr"/>
            <w:bookmarkEnd w:id="46"/>
          </w:p>
        </w:tc>
      </w:tr>
      <w:tr>
        <w:trPr/>
        <w:tc>
          <w:tcPr>
            <w:tcW w:w="7308" w:type="dxa"/>
            <w:tcBorders/>
            <w:shd w:fill="FFFFFF" w:val="clear"/>
            <w:vAlign w:val="center"/>
          </w:tcPr>
          <w:p>
            <w:pPr>
              <w:pStyle w:val="TableContents"/>
              <w:bidi w:val="0"/>
              <w:spacing w:before="0" w:after="283"/>
              <w:jc w:val="left"/>
              <w:rPr>
                <w:sz w:val="20"/>
              </w:rPr>
            </w:pPr>
            <w:r>
              <w:rPr>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9,826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6,762</w:t>
            </w:r>
          </w:p>
        </w:tc>
        <w:tc>
          <w:tcPr>
            <w:tcW w:w="134" w:type="dxa"/>
            <w:tcBorders/>
            <w:shd w:fill="FFFFFF" w:val="clear"/>
            <w:vAlign w:val="center"/>
          </w:tcPr>
          <w:p>
            <w:pPr>
              <w:pStyle w:val="TableContents"/>
              <w:bidi w:val="0"/>
              <w:spacing w:before="0" w:after="283"/>
              <w:jc w:val="left"/>
              <w:rPr/>
            </w:pPr>
            <w:r>
              <w:rPr/>
              <w:t> </w:t>
            </w:r>
            <w:bookmarkStart w:id="47" w:name="xdx_409_ecustom--LiabilityInRespectOfGov"/>
            <w:bookmarkEnd w:id="47"/>
          </w:p>
        </w:tc>
      </w:tr>
      <w:tr>
        <w:trPr/>
        <w:tc>
          <w:tcPr>
            <w:tcW w:w="7308" w:type="dxa"/>
            <w:tcBorders/>
            <w:shd w:fill="CCEEFF" w:val="clear"/>
            <w:vAlign w:val="center"/>
          </w:tcPr>
          <w:p>
            <w:pPr>
              <w:pStyle w:val="TableContents"/>
              <w:bidi w:val="0"/>
              <w:spacing w:before="0" w:after="283"/>
              <w:jc w:val="left"/>
              <w:rPr>
                <w:sz w:val="20"/>
              </w:rPr>
            </w:pPr>
            <w:r>
              <w:rPr>
                <w:sz w:val="20"/>
              </w:rPr>
              <w:t>Liability in respect of government grants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4,393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5,029</w:t>
            </w:r>
          </w:p>
        </w:tc>
        <w:tc>
          <w:tcPr>
            <w:tcW w:w="134" w:type="dxa"/>
            <w:tcBorders/>
            <w:shd w:fill="CCEEFF" w:val="clear"/>
            <w:vAlign w:val="center"/>
          </w:tcPr>
          <w:p>
            <w:pPr>
              <w:pStyle w:val="TableContents"/>
              <w:bidi w:val="0"/>
              <w:spacing w:before="0" w:after="283"/>
              <w:jc w:val="left"/>
              <w:rPr/>
            </w:pPr>
            <w:r>
              <w:rPr/>
              <w:t> </w:t>
            </w:r>
            <w:bookmarkStart w:id="48" w:name="xdx_407_eifrs-full--NoncurrentLeaseLiabi"/>
            <w:bookmarkEnd w:id="48"/>
          </w:p>
        </w:tc>
      </w:tr>
      <w:tr>
        <w:trPr/>
        <w:tc>
          <w:tcPr>
            <w:tcW w:w="7308" w:type="dxa"/>
            <w:tcBorders/>
            <w:shd w:fill="FFFFFF" w:val="clear"/>
            <w:vAlign w:val="center"/>
          </w:tcPr>
          <w:p>
            <w:pPr>
              <w:pStyle w:val="TableContents"/>
              <w:bidi w:val="0"/>
              <w:spacing w:before="0" w:after="283"/>
              <w:jc w:val="left"/>
              <w:rPr>
                <w:sz w:val="20"/>
              </w:rPr>
            </w:pPr>
            <w:r>
              <w:rPr>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5,894</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5,742</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 w:name="xdx_40F_eifrs-full--NoncurrentLiabilitie"/>
            <w:bookmarkEnd w:id="49"/>
          </w:p>
        </w:tc>
      </w:tr>
      <w:tr>
        <w:trPr/>
        <w:tc>
          <w:tcPr>
            <w:tcW w:w="7308" w:type="dxa"/>
            <w:tcBorders/>
            <w:shd w:fill="CCEEFF" w:val="clear"/>
            <w:vAlign w:val="center"/>
          </w:tcPr>
          <w:p>
            <w:pPr>
              <w:pStyle w:val="TableContents"/>
              <w:bidi w:val="0"/>
              <w:spacing w:before="0" w:after="283"/>
              <w:jc w:val="left"/>
              <w:rPr>
                <w:sz w:val="20"/>
              </w:rPr>
            </w:pPr>
            <w:r>
              <w:rPr>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20,113</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17,533</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bookmarkStart w:id="50" w:name="xdx_407_eifrs-full--EquityAbstract_iB_zs"/>
            <w:bookmarkEnd w:id="50"/>
          </w:p>
        </w:tc>
      </w:tr>
      <w:tr>
        <w:trPr/>
        <w:tc>
          <w:tcPr>
            <w:tcW w:w="7308" w:type="dxa"/>
            <w:tcBorders/>
            <w:shd w:fill="CCEEFF" w:val="clear"/>
            <w:vAlign w:val="center"/>
          </w:tcPr>
          <w:p>
            <w:pPr>
              <w:pStyle w:val="TableContents"/>
              <w:bidi w:val="0"/>
              <w:spacing w:before="0" w:after="283"/>
              <w:jc w:val="left"/>
              <w:rPr>
                <w:sz w:val="20"/>
              </w:rPr>
            </w:pPr>
            <w:r>
              <w:rPr>
                <w:sz w:val="20"/>
              </w:rPr>
              <w:t>EQUITY:</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bookmarkStart w:id="51" w:name="xdx_401_eifrs-full--IssuedCapital_iI_maC"/>
            <w:bookmarkEnd w:id="51"/>
          </w:p>
        </w:tc>
      </w:tr>
      <w:tr>
        <w:trPr/>
        <w:tc>
          <w:tcPr>
            <w:tcW w:w="7308" w:type="dxa"/>
            <w:tcBorders/>
            <w:shd w:fill="FFFFFF" w:val="clear"/>
            <w:vAlign w:val="center"/>
          </w:tcPr>
          <w:p>
            <w:pPr>
              <w:pStyle w:val="TableContents"/>
              <w:bidi w:val="0"/>
              <w:spacing w:before="0" w:after="283"/>
              <w:jc w:val="left"/>
              <w:rPr>
                <w:sz w:val="20"/>
              </w:rPr>
            </w:pPr>
            <w:r>
              <w:rPr>
                <w:sz w:val="20"/>
              </w:rPr>
              <w:t>Share capital</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r>
      <w:tr>
        <w:trPr/>
        <w:tc>
          <w:tcPr>
            <w:tcW w:w="7308" w:type="dxa"/>
            <w:tcBorders/>
            <w:shd w:fill="CCEEFF" w:val="clear"/>
            <w:vAlign w:val="center"/>
          </w:tcPr>
          <w:p>
            <w:pPr>
              <w:pStyle w:val="TableContents"/>
              <w:bidi w:val="0"/>
              <w:spacing w:before="0" w:after="283"/>
              <w:jc w:val="left"/>
              <w:rPr>
                <w:sz w:val="20"/>
              </w:rPr>
            </w:pPr>
            <w:r>
              <w:rPr>
                <w:sz w:val="20"/>
              </w:rPr>
              <w:t xml:space="preserve">Ordinary shares of NIS </w:t>
            </w:r>
            <w:bookmarkStart w:id="52" w:name="xdx_907_ecustom--OrdinaryShareParValue_i"/>
            <w:bookmarkStart w:id="53" w:name="xdx_907_ecustom--OrdinaryShareParValue_i"/>
            <w:bookmarkEnd w:id="52"/>
            <w:bookmarkEnd w:id="53"/>
            <w:r>
              <w:rPr>
                <w:sz w:val="20"/>
              </w:rPr>
              <w:t>0.04 par value: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283"/>
              <w:jc w:val="left"/>
              <w:rPr>
                <w:sz w:val="20"/>
              </w:rPr>
            </w:pPr>
            <w:r>
              <w:rPr>
                <w:sz w:val="20"/>
              </w:rPr>
              <w:t xml:space="preserve">Authorized- </w:t>
            </w:r>
            <w:bookmarkStart w:id="54" w:name="xdx_908_ecustom--OrdinarySharesShareAuth"/>
            <w:bookmarkStart w:id="55" w:name="xdx_903_ecustom--OrdinarySharesShareAuth"/>
            <w:bookmarkEnd w:id="54"/>
            <w:bookmarkEnd w:id="55"/>
            <w:r>
              <w:rPr>
                <w:sz w:val="20"/>
              </w:rPr>
              <w:t xml:space="preserve">120,000,000 ordinary shares; Issued and outstanding - </w:t>
            </w:r>
            <w:bookmarkStart w:id="56" w:name="xdx_907_ecustom--OrdinarySharesShareOuts"/>
            <w:bookmarkStart w:id="57" w:name="xdx_902_ecustom--OrdinarySharesShareIssu"/>
            <w:bookmarkEnd w:id="56"/>
            <w:bookmarkEnd w:id="57"/>
            <w:r>
              <w:rPr>
                <w:sz w:val="20"/>
              </w:rPr>
              <w:t xml:space="preserve">40,129,409 ordinary shares on June 30, 2026 and </w:t>
            </w:r>
            <w:bookmarkStart w:id="58" w:name="xdx_904_ecustom--OrdinarySharesShareOuts"/>
            <w:bookmarkStart w:id="59" w:name="xdx_904_ecustom--OrdinarySharesShareIssu"/>
            <w:bookmarkEnd w:id="58"/>
            <w:bookmarkEnd w:id="59"/>
            <w:r>
              <w:rPr>
                <w:sz w:val="20"/>
              </w:rPr>
              <w:t>39,165,805 ordinary shares on December 31, 2025</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bookmarkStart w:id="60" w:name="xdx_984_ecustom--OrdinaryShareValue_iI_m"/>
            <w:bookmarkEnd w:id="60"/>
          </w:p>
        </w:tc>
        <w:tc>
          <w:tcPr>
            <w:tcW w:w="853" w:type="dxa"/>
            <w:tcBorders/>
            <w:shd w:fill="FFFFFF" w:val="clear"/>
            <w:vAlign w:val="center"/>
          </w:tcPr>
          <w:p>
            <w:pPr>
              <w:pStyle w:val="TableContents"/>
              <w:bidi w:val="0"/>
              <w:spacing w:before="0" w:after="283"/>
              <w:jc w:val="right"/>
              <w:rPr>
                <w:sz w:val="20"/>
              </w:rPr>
            </w:pPr>
            <w:r>
              <w:rPr>
                <w:sz w:val="20"/>
              </w:rPr>
              <w:t>440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61" w:name="xdx_98D_ecustom--OrdinaryShareValue_iI_m"/>
            <w:bookmarkEnd w:id="61"/>
          </w:p>
        </w:tc>
        <w:tc>
          <w:tcPr>
            <w:tcW w:w="966" w:type="dxa"/>
            <w:tcBorders/>
            <w:shd w:fill="FFFFFF" w:val="clear"/>
            <w:vAlign w:val="center"/>
          </w:tcPr>
          <w:p>
            <w:pPr>
              <w:pStyle w:val="TableContents"/>
              <w:bidi w:val="0"/>
              <w:spacing w:before="0" w:after="283"/>
              <w:jc w:val="right"/>
              <w:rPr>
                <w:sz w:val="20"/>
              </w:rPr>
            </w:pPr>
            <w:r>
              <w:rPr>
                <w:sz w:val="20"/>
              </w:rPr>
              <w:t>430</w:t>
            </w:r>
          </w:p>
        </w:tc>
        <w:tc>
          <w:tcPr>
            <w:tcW w:w="134" w:type="dxa"/>
            <w:tcBorders/>
            <w:shd w:fill="FFFFFF" w:val="clear"/>
            <w:vAlign w:val="center"/>
          </w:tcPr>
          <w:p>
            <w:pPr>
              <w:pStyle w:val="TableContents"/>
              <w:bidi w:val="0"/>
              <w:spacing w:before="0" w:after="283"/>
              <w:jc w:val="left"/>
              <w:rPr/>
            </w:pPr>
            <w:r>
              <w:rPr/>
              <w:t> </w:t>
            </w:r>
            <w:bookmarkStart w:id="62" w:name="xdx_40B_eifrs-full--SharePremium_iI_maCz"/>
            <w:bookmarkEnd w:id="62"/>
          </w:p>
        </w:tc>
      </w:tr>
      <w:tr>
        <w:trPr/>
        <w:tc>
          <w:tcPr>
            <w:tcW w:w="7308" w:type="dxa"/>
            <w:tcBorders/>
            <w:shd w:fill="CCEEFF" w:val="clear"/>
            <w:vAlign w:val="center"/>
          </w:tcPr>
          <w:p>
            <w:pPr>
              <w:pStyle w:val="TableContents"/>
              <w:bidi w:val="0"/>
              <w:spacing w:before="0" w:after="283"/>
              <w:jc w:val="left"/>
              <w:rPr>
                <w:sz w:val="20"/>
              </w:rPr>
            </w:pPr>
            <w:r>
              <w:rPr>
                <w:sz w:val="20"/>
              </w:rPr>
              <w:t>Share premium</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164,187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162,221</w:t>
            </w:r>
          </w:p>
        </w:tc>
        <w:tc>
          <w:tcPr>
            <w:tcW w:w="134" w:type="dxa"/>
            <w:tcBorders/>
            <w:shd w:fill="CCEEFF" w:val="clear"/>
            <w:vAlign w:val="center"/>
          </w:tcPr>
          <w:p>
            <w:pPr>
              <w:pStyle w:val="TableContents"/>
              <w:bidi w:val="0"/>
              <w:spacing w:before="0" w:after="283"/>
              <w:jc w:val="left"/>
              <w:rPr/>
            </w:pPr>
            <w:r>
              <w:rPr/>
              <w:t> </w:t>
            </w:r>
            <w:bookmarkStart w:id="63" w:name="xdx_409_eifrs-full--ReserveOfSharebasedP"/>
            <w:bookmarkEnd w:id="63"/>
          </w:p>
        </w:tc>
      </w:tr>
      <w:tr>
        <w:trPr/>
        <w:tc>
          <w:tcPr>
            <w:tcW w:w="7308" w:type="dxa"/>
            <w:tcBorders/>
            <w:shd w:fill="FFFFFF" w:val="clear"/>
            <w:vAlign w:val="center"/>
          </w:tcPr>
          <w:p>
            <w:pPr>
              <w:pStyle w:val="TableContents"/>
              <w:bidi w:val="0"/>
              <w:spacing w:before="0" w:after="283"/>
              <w:jc w:val="left"/>
              <w:rPr>
                <w:sz w:val="20"/>
              </w:rPr>
            </w:pPr>
            <w:r>
              <w:rPr>
                <w:sz w:val="20"/>
              </w:rPr>
              <w:t>Reserve for share-based payment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sz w:val="20"/>
              </w:rPr>
            </w:pPr>
            <w:r>
              <w:rPr>
                <w:sz w:val="20"/>
              </w:rPr>
              <w:t>2,556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3,506</w:t>
            </w:r>
          </w:p>
        </w:tc>
        <w:tc>
          <w:tcPr>
            <w:tcW w:w="134" w:type="dxa"/>
            <w:tcBorders/>
            <w:shd w:fill="FFFFFF" w:val="clear"/>
            <w:vAlign w:val="center"/>
          </w:tcPr>
          <w:p>
            <w:pPr>
              <w:pStyle w:val="TableContents"/>
              <w:bidi w:val="0"/>
              <w:spacing w:before="0" w:after="283"/>
              <w:jc w:val="left"/>
              <w:rPr/>
            </w:pPr>
            <w:r>
              <w:rPr/>
              <w:t> </w:t>
            </w:r>
            <w:bookmarkStart w:id="64" w:name="xdx_402_ecustom--CurrencyTranslationAdju"/>
            <w:bookmarkEnd w:id="64"/>
          </w:p>
        </w:tc>
      </w:tr>
      <w:tr>
        <w:trPr/>
        <w:tc>
          <w:tcPr>
            <w:tcW w:w="7308" w:type="dxa"/>
            <w:tcBorders/>
            <w:shd w:fill="CCEEFF" w:val="clear"/>
            <w:vAlign w:val="center"/>
          </w:tcPr>
          <w:p>
            <w:pPr>
              <w:pStyle w:val="TableContents"/>
              <w:bidi w:val="0"/>
              <w:spacing w:before="0" w:after="283"/>
              <w:jc w:val="left"/>
              <w:rPr>
                <w:sz w:val="20"/>
              </w:rPr>
            </w:pPr>
            <w:r>
              <w:rPr>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sz w:val="20"/>
              </w:rPr>
            </w:pPr>
            <w:r>
              <w:rPr>
                <w:sz w:val="20"/>
              </w:rPr>
              <w:t>(2,188</w:t>
            </w:r>
          </w:p>
        </w:tc>
        <w:tc>
          <w:tcPr>
            <w:tcW w:w="96"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(2,188</w:t>
            </w:r>
          </w:p>
        </w:tc>
        <w:tc>
          <w:tcPr>
            <w:tcW w:w="134" w:type="dxa"/>
            <w:tcBorders/>
            <w:shd w:fill="CCEEFF" w:val="clear"/>
            <w:vAlign w:val="center"/>
          </w:tcPr>
          <w:p>
            <w:pPr>
              <w:pStyle w:val="TableContents"/>
              <w:bidi w:val="0"/>
              <w:spacing w:before="0" w:after="283"/>
              <w:jc w:val="left"/>
              <w:rPr>
                <w:sz w:val="20"/>
              </w:rPr>
            </w:pPr>
            <w:r>
              <w:rPr>
                <w:sz w:val="20"/>
              </w:rPr>
              <w:t>)</w:t>
            </w:r>
            <w:bookmarkStart w:id="65" w:name="xdx_404_eifrs-full--RetainedEarnings_iI_"/>
            <w:bookmarkEnd w:id="65"/>
          </w:p>
        </w:tc>
      </w:tr>
      <w:tr>
        <w:trPr/>
        <w:tc>
          <w:tcPr>
            <w:tcW w:w="7308"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(85,806</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(90,806</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66" w:name="xdx_40D_eifrs-full--Equity_iTI_mtCzY6D_m"/>
            <w:bookmarkEnd w:id="66"/>
          </w:p>
        </w:tc>
      </w:tr>
      <w:tr>
        <w:trPr/>
        <w:tc>
          <w:tcPr>
            <w:tcW w:w="7308" w:type="dxa"/>
            <w:tcBorders/>
            <w:shd w:fill="CCEEFF" w:val="clear"/>
            <w:vAlign w:val="center"/>
          </w:tcPr>
          <w:p>
            <w:pPr>
              <w:pStyle w:val="TableContents"/>
              <w:bidi w:val="0"/>
              <w:spacing w:before="0" w:after="283"/>
              <w:jc w:val="left"/>
              <w:rPr>
                <w:sz w:val="20"/>
              </w:rPr>
            </w:pPr>
            <w:r>
              <w:rPr>
                <w:sz w:val="20"/>
              </w:rPr>
              <w:t>Total equity</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209" w:type="dxa"/>
            <w:tcBorders/>
            <w:shd w:fill="CCEEFF" w:val="clear"/>
            <w:vAlign w:val="center"/>
          </w:tcPr>
          <w:p>
            <w:pPr>
              <w:pStyle w:val="TableContents"/>
              <w:bidi w:val="0"/>
              <w:spacing w:before="0" w:after="283"/>
              <w:jc w:val="center"/>
              <w:rPr/>
            </w:pPr>
            <w:r>
              <w:rPr/>
              <w:t> </w:t>
            </w:r>
          </w:p>
        </w:tc>
        <w:tc>
          <w:tcPr>
            <w:tcW w:w="1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79,189</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73,163</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 w:name="xdx_40A_eifrs-full--EquityAndLiabilities"/>
            <w:bookmarkEnd w:id="67"/>
          </w:p>
        </w:tc>
      </w:tr>
      <w:tr>
        <w:trPr/>
        <w:tc>
          <w:tcPr>
            <w:tcW w:w="7308" w:type="dxa"/>
            <w:tcBorders/>
            <w:shd w:fill="FFFFFF" w:val="clear"/>
            <w:vAlign w:val="center"/>
          </w:tcPr>
          <w:p>
            <w:pPr>
              <w:pStyle w:val="TableContents"/>
              <w:bidi w:val="0"/>
              <w:spacing w:before="0" w:after="283"/>
              <w:jc w:val="left"/>
              <w:rPr>
                <w:sz w:val="20"/>
              </w:rPr>
            </w:pPr>
            <w:r>
              <w:rPr>
                <w:sz w:val="20"/>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121,975</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113,191</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14" w:after="14"/>
        <w:ind w:left="14" w:right="14" w:hanging="0"/>
        <w:jc w:val="left"/>
        <w:rPr/>
      </w:pPr>
      <w:r>
        <w:rPr/>
        <w:t> </w:t>
      </w:r>
    </w:p>
    <w:p>
      <w:pPr>
        <w:pStyle w:val="TextBody"/>
        <w:bidi w:val="0"/>
        <w:ind w:left="907" w:right="899" w:hanging="0"/>
        <w:jc w:val="center"/>
        <w:rPr>
          <w:sz w:val="20"/>
        </w:rPr>
      </w:pPr>
      <w:r>
        <w:rPr>
          <w:sz w:val="20"/>
        </w:rPr>
        <w:t>The accompanying Notes are an integral part of these condensed consolidated unaudited interim Financial Statements.</w:t>
      </w:r>
    </w:p>
    <w:p>
      <w:pPr>
        <w:pStyle w:val="TextBody"/>
        <w:bidi w:val="0"/>
        <w:spacing w:before="98" w:after="98"/>
        <w:ind w:left="98" w:right="98" w:hanging="0"/>
        <w:jc w:val="left"/>
        <w:rPr/>
      </w:pPr>
      <w:r>
        <w:rPr/>
        <w:t> </w:t>
      </w:r>
    </w:p>
    <w:p>
      <w:pPr>
        <w:pStyle w:val="TextBody"/>
        <w:bidi w:val="0"/>
        <w:spacing w:before="98" w:after="98"/>
        <w:ind w:left="98" w:right="98"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81" w:after="81"/>
        <w:ind w:left="907" w:right="899" w:hanging="0"/>
        <w:jc w:val="center"/>
        <w:rPr>
          <w:b/>
          <w:sz w:val="20"/>
        </w:rPr>
      </w:pPr>
      <w:bookmarkStart w:id="68" w:name="fs_ci"/>
      <w:bookmarkEnd w:id="68"/>
      <w:r>
        <w:rPr>
          <w:b/>
          <w:sz w:val="20"/>
        </w:rPr>
        <w:t>BRAINSWAY LTD. AND SUBSIDIARIES</w:t>
      </w:r>
    </w:p>
    <w:p>
      <w:pPr>
        <w:pStyle w:val="TextBody"/>
        <w:bidi w:val="0"/>
        <w:spacing w:before="18" w:after="18"/>
        <w:ind w:left="907" w:right="899" w:hanging="0"/>
        <w:jc w:val="center"/>
        <w:rPr>
          <w:b/>
          <w:sz w:val="20"/>
        </w:rPr>
      </w:pPr>
      <w:r>
        <w:rPr>
          <w:b/>
          <w:sz w:val="20"/>
        </w:rPr>
        <w:t>CONDENSED CONSOLIDATED UNAUDITED INTERIM STATEMENTS OF COMPREHENSIVE INCOME</w:t>
      </w:r>
    </w:p>
    <w:p>
      <w:pPr>
        <w:pStyle w:val="TextBody"/>
        <w:bidi w:val="0"/>
        <w:spacing w:before="0" w:after="0"/>
        <w:ind w:left="0" w:right="0" w:hanging="0"/>
        <w:jc w:val="left"/>
        <w:rPr/>
      </w:pPr>
      <w:r>
        <w:rPr/>
        <w:t> </w:t>
      </w:r>
    </w:p>
    <w:p>
      <w:pPr>
        <w:pStyle w:val="TextBody"/>
        <w:bidi w:val="0"/>
        <w:spacing w:before="1" w:after="283"/>
        <w:jc w:val="center"/>
        <w:rPr>
          <w:b/>
          <w:sz w:val="20"/>
        </w:rPr>
      </w:pPr>
      <w:r>
        <w:rPr>
          <w:b/>
          <w:sz w:val="20"/>
        </w:rPr>
        <w:t>U.S. dollars in thousands (except share and per share data)</w:t>
      </w:r>
    </w:p>
    <w:p>
      <w:pPr>
        <w:pStyle w:val="TextBody"/>
        <w:bidi w:val="0"/>
        <w:spacing w:before="118" w:after="1"/>
        <w:ind w:left="118" w:right="118" w:hanging="0"/>
        <w:jc w:val="left"/>
        <w:rPr/>
      </w:pPr>
      <w:r>
        <w:rPr/>
        <w:t> </w:t>
      </w:r>
    </w:p>
    <w:p>
      <w:pPr>
        <w:pStyle w:val="TextBody"/>
        <w:bidi w:val="0"/>
        <w:spacing w:before="7" w:after="7"/>
        <w:ind w:left="7" w:right="7" w:hanging="0"/>
        <w:jc w:val="left"/>
        <w:rPr/>
      </w:pPr>
      <w:r>
        <w:rPr/>
        <w:t> </w:t>
      </w:r>
    </w:p>
    <w:p>
      <w:pPr>
        <w:pStyle w:val="Normal"/>
        <w:bidi w:val="0"/>
        <w:spacing w:before="0" w:after="0"/>
        <w:jc w:val="left"/>
        <w:rPr>
          <w:sz w:val="4"/>
          <w:szCs w:val="4"/>
        </w:rPr>
      </w:pPr>
      <w:r>
        <w:rPr>
          <w:sz w:val="4"/>
          <w:szCs w:val="4"/>
        </w:rPr>
      </w:r>
      <w:bookmarkStart w:id="69" w:name="xdx_301_113_pn3n3_zn94lKIe2CEi"/>
      <w:bookmarkStart w:id="70" w:name="xdx_301_113_pn3n3_zn94lKIe2CEi"/>
      <w:bookmarkEnd w:id="70"/>
    </w:p>
    <w:tbl>
      <w:tblPr>
        <w:tblW w:w="6911" w:type="dxa"/>
        <w:jc w:val="left"/>
        <w:tblInd w:w="0" w:type="dxa"/>
        <w:tblLayout w:type="fixed"/>
        <w:tblCellMar>
          <w:top w:w="0" w:type="dxa"/>
          <w:left w:w="0" w:type="dxa"/>
          <w:bottom w:w="0" w:type="dxa"/>
          <w:right w:w="0" w:type="dxa"/>
        </w:tblCellMar>
      </w:tblPr>
      <w:tblGrid>
        <w:gridCol w:w="3500"/>
        <w:gridCol w:w="60"/>
        <w:gridCol w:w="70"/>
        <w:gridCol w:w="269"/>
        <w:gridCol w:w="71"/>
        <w:gridCol w:w="60"/>
        <w:gridCol w:w="221"/>
        <w:gridCol w:w="1047"/>
        <w:gridCol w:w="106"/>
        <w:gridCol w:w="106"/>
        <w:gridCol w:w="221"/>
        <w:gridCol w:w="1047"/>
        <w:gridCol w:w="133"/>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71" w:name="xdx_49F_20260101__20260630_zmqwmEk45wo"/>
            <w:bookmarkEnd w:id="71"/>
          </w:p>
        </w:tc>
        <w:tc>
          <w:tcPr>
            <w:tcW w:w="104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72" w:name="xdx_490_20250101__20250630_zRUXSMhu37n4"/>
            <w:bookmarkEnd w:id="72"/>
          </w:p>
        </w:tc>
        <w:tc>
          <w:tcPr>
            <w:tcW w:w="104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3"/>
            <w:tcBorders/>
            <w:vAlign w:val="center"/>
          </w:tcPr>
          <w:p>
            <w:pPr>
              <w:pStyle w:val="TableContents"/>
              <w:bidi w:val="0"/>
              <w:spacing w:before="0" w:after="283"/>
              <w:jc w:val="center"/>
              <w:rPr>
                <w:b/>
                <w:sz w:val="20"/>
              </w:rPr>
            </w:pPr>
            <w:r>
              <w:rPr>
                <w:b/>
                <w:sz w:val="20"/>
              </w:rPr>
              <w:t>Note</w:t>
            </w:r>
          </w:p>
        </w:tc>
        <w:tc>
          <w:tcPr>
            <w:tcW w:w="60" w:type="dxa"/>
            <w:tcBorders/>
            <w:vAlign w:val="center"/>
          </w:tcPr>
          <w:p>
            <w:pPr>
              <w:pStyle w:val="TableContents"/>
              <w:bidi w:val="0"/>
              <w:spacing w:before="0" w:after="283"/>
              <w:jc w:val="left"/>
              <w:rPr/>
            </w:pPr>
            <w:r>
              <w:rPr/>
              <w:t> </w:t>
            </w:r>
          </w:p>
        </w:tc>
        <w:tc>
          <w:tcPr>
            <w:tcW w:w="137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6" w:type="dxa"/>
            <w:tcBorders/>
            <w:vAlign w:val="center"/>
          </w:tcPr>
          <w:p>
            <w:pPr>
              <w:pStyle w:val="TableContents"/>
              <w:bidi w:val="0"/>
              <w:spacing w:before="0" w:after="283"/>
              <w:jc w:val="left"/>
              <w:rPr/>
            </w:pPr>
            <w:r>
              <w:rPr/>
              <w:t> </w:t>
            </w:r>
          </w:p>
        </w:tc>
        <w:tc>
          <w:tcPr>
            <w:tcW w:w="140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4" w:type="dxa"/>
            <w:gridSpan w:val="3"/>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1401" w:type="dxa"/>
            <w:gridSpan w:val="3"/>
            <w:tcBorders/>
            <w:vAlign w:val="center"/>
          </w:tcPr>
          <w:p>
            <w:pPr>
              <w:pStyle w:val="TableContents"/>
              <w:bidi w:val="0"/>
              <w:spacing w:before="0" w:after="283"/>
              <w:jc w:val="right"/>
              <w:rPr/>
            </w:pPr>
            <w:r>
              <w:rPr/>
              <w:t> </w:t>
            </w:r>
            <w:bookmarkStart w:id="73" w:name="xdx_401_eifrs-full--Revenue_maCzw8H_zyLW"/>
            <w:bookmarkEnd w:id="73"/>
          </w:p>
        </w:tc>
      </w:tr>
      <w:tr>
        <w:trPr/>
        <w:tc>
          <w:tcPr>
            <w:tcW w:w="3500"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sz w:val="20"/>
              </w:rPr>
            </w:pPr>
            <w:r>
              <w:rPr>
                <w:sz w:val="20"/>
              </w:rPr>
              <w:t>9a</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20"/>
              </w:rPr>
            </w:pPr>
            <w:r>
              <w:rPr>
                <w:sz w:val="20"/>
              </w:rPr>
              <w:t>$</w:t>
            </w:r>
          </w:p>
        </w:tc>
        <w:tc>
          <w:tcPr>
            <w:tcW w:w="1047" w:type="dxa"/>
            <w:tcBorders/>
            <w:shd w:fill="CCEEFF" w:val="clear"/>
            <w:vAlign w:val="center"/>
          </w:tcPr>
          <w:p>
            <w:pPr>
              <w:pStyle w:val="TableContents"/>
              <w:bidi w:val="0"/>
              <w:spacing w:before="0" w:after="283"/>
              <w:jc w:val="right"/>
              <w:rPr>
                <w:sz w:val="20"/>
              </w:rPr>
            </w:pPr>
            <w:r>
              <w:rPr>
                <w:sz w:val="20"/>
              </w:rPr>
              <w:t>32,638</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20"/>
              </w:rPr>
            </w:pPr>
            <w:r>
              <w:rPr>
                <w:sz w:val="20"/>
              </w:rPr>
              <w:t>$</w:t>
            </w:r>
          </w:p>
        </w:tc>
        <w:tc>
          <w:tcPr>
            <w:tcW w:w="1047" w:type="dxa"/>
            <w:tcBorders/>
            <w:shd w:fill="CCEEFF" w:val="clear"/>
            <w:vAlign w:val="center"/>
          </w:tcPr>
          <w:p>
            <w:pPr>
              <w:pStyle w:val="TableContents"/>
              <w:bidi w:val="0"/>
              <w:spacing w:before="0" w:after="283"/>
              <w:jc w:val="right"/>
              <w:rPr>
                <w:sz w:val="20"/>
              </w:rPr>
            </w:pPr>
            <w:r>
              <w:rPr>
                <w:sz w:val="20"/>
              </w:rPr>
              <w:t>24,168</w:t>
            </w:r>
          </w:p>
        </w:tc>
        <w:tc>
          <w:tcPr>
            <w:tcW w:w="133" w:type="dxa"/>
            <w:tcBorders/>
            <w:shd w:fill="CCEEFF" w:val="clear"/>
            <w:vAlign w:val="center"/>
          </w:tcPr>
          <w:p>
            <w:pPr>
              <w:pStyle w:val="TableContents"/>
              <w:bidi w:val="0"/>
              <w:spacing w:before="0" w:after="283"/>
              <w:jc w:val="left"/>
              <w:rPr/>
            </w:pPr>
            <w:r>
              <w:rPr/>
              <w:t> </w:t>
            </w:r>
            <w:bookmarkStart w:id="74" w:name="xdx_406_eifrs-full--CostOfSales_msCzw8H_"/>
            <w:bookmarkEnd w:id="74"/>
          </w:p>
        </w:tc>
      </w:tr>
      <w:tr>
        <w:trPr/>
        <w:tc>
          <w:tcPr>
            <w:tcW w:w="3500" w:type="dxa"/>
            <w:tcBorders/>
            <w:shd w:fill="FFFFFF" w:val="clear"/>
            <w:vAlign w:val="center"/>
          </w:tcPr>
          <w:p>
            <w:pPr>
              <w:pStyle w:val="TableContents"/>
              <w:bidi w:val="0"/>
              <w:spacing w:before="0" w:after="283"/>
              <w:jc w:val="left"/>
              <w:rPr>
                <w:sz w:val="20"/>
              </w:rPr>
            </w:pPr>
            <w:r>
              <w:rPr>
                <w:sz w:val="20"/>
              </w:rPr>
              <w:t>Cost of revenues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sz w:val="20"/>
              </w:rPr>
            </w:pPr>
            <w:r>
              <w:rPr>
                <w:sz w:val="20"/>
              </w:rPr>
              <w:t>9b</w:t>
            </w:r>
          </w:p>
        </w:tc>
        <w:tc>
          <w:tcPr>
            <w:tcW w:w="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8,197</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6,059</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 w:name="xdx_406_eifrs-full--GrossProfit_iT_mtCzw"/>
            <w:bookmarkEnd w:id="75"/>
          </w:p>
        </w:tc>
      </w:tr>
      <w:tr>
        <w:trPr/>
        <w:tc>
          <w:tcPr>
            <w:tcW w:w="350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24,441</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18,109</w:t>
            </w:r>
          </w:p>
        </w:tc>
        <w:tc>
          <w:tcPr>
            <w:tcW w:w="133" w:type="dxa"/>
            <w:tcBorders/>
            <w:shd w:fill="CCEEFF" w:val="clear"/>
            <w:vAlign w:val="center"/>
          </w:tcPr>
          <w:p>
            <w:pPr>
              <w:pStyle w:val="TableContents"/>
              <w:bidi w:val="0"/>
              <w:spacing w:before="0" w:after="283"/>
              <w:jc w:val="left"/>
              <w:rPr/>
            </w:pPr>
            <w:r>
              <w:rPr/>
              <w:t> </w:t>
            </w:r>
            <w:bookmarkStart w:id="76" w:name="xdx_402_eifrs-full--ResearchAndDevelopme"/>
            <w:bookmarkEnd w:id="76"/>
          </w:p>
        </w:tc>
      </w:tr>
      <w:tr>
        <w:trPr/>
        <w:tc>
          <w:tcPr>
            <w:tcW w:w="3500" w:type="dxa"/>
            <w:tcBorders/>
            <w:shd w:fill="FFFFFF" w:val="clear"/>
            <w:vAlign w:val="center"/>
          </w:tcPr>
          <w:p>
            <w:pPr>
              <w:pStyle w:val="TableContents"/>
              <w:bidi w:val="0"/>
              <w:spacing w:before="0" w:after="283"/>
              <w:jc w:val="left"/>
              <w:rPr>
                <w:sz w:val="20"/>
              </w:rPr>
            </w:pPr>
            <w:r>
              <w:rPr>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6,100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4,676</w:t>
            </w:r>
          </w:p>
        </w:tc>
        <w:tc>
          <w:tcPr>
            <w:tcW w:w="133" w:type="dxa"/>
            <w:tcBorders/>
            <w:shd w:fill="FFFFFF" w:val="clear"/>
            <w:vAlign w:val="center"/>
          </w:tcPr>
          <w:p>
            <w:pPr>
              <w:pStyle w:val="TableContents"/>
              <w:bidi w:val="0"/>
              <w:spacing w:before="0" w:after="283"/>
              <w:jc w:val="left"/>
              <w:rPr/>
            </w:pPr>
            <w:r>
              <w:rPr/>
              <w:t> </w:t>
            </w:r>
            <w:bookmarkStart w:id="77" w:name="xdx_402_eifrs-full--SalesAndMarketingExp"/>
            <w:bookmarkEnd w:id="77"/>
          </w:p>
        </w:tc>
      </w:tr>
      <w:tr>
        <w:trPr/>
        <w:tc>
          <w:tcPr>
            <w:tcW w:w="3500" w:type="dxa"/>
            <w:tcBorders/>
            <w:shd w:fill="CCEEFF" w:val="clear"/>
            <w:vAlign w:val="center"/>
          </w:tcPr>
          <w:p>
            <w:pPr>
              <w:pStyle w:val="TableContents"/>
              <w:bidi w:val="0"/>
              <w:spacing w:before="0" w:after="283"/>
              <w:jc w:val="left"/>
              <w:rPr>
                <w:sz w:val="20"/>
              </w:rPr>
            </w:pPr>
            <w:r>
              <w:rPr>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9,782</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9,102</w:t>
            </w:r>
          </w:p>
        </w:tc>
        <w:tc>
          <w:tcPr>
            <w:tcW w:w="133" w:type="dxa"/>
            <w:tcBorders/>
            <w:shd w:fill="CCEEFF" w:val="clear"/>
            <w:vAlign w:val="center"/>
          </w:tcPr>
          <w:p>
            <w:pPr>
              <w:pStyle w:val="TableContents"/>
              <w:bidi w:val="0"/>
              <w:spacing w:before="0" w:after="283"/>
              <w:jc w:val="left"/>
              <w:rPr/>
            </w:pPr>
            <w:r>
              <w:rPr/>
              <w:t> </w:t>
            </w:r>
            <w:bookmarkStart w:id="78" w:name="xdx_407_eifrs-full--GeneralAndAdministra"/>
            <w:bookmarkEnd w:id="78"/>
          </w:p>
        </w:tc>
      </w:tr>
      <w:tr>
        <w:trPr/>
        <w:tc>
          <w:tcPr>
            <w:tcW w:w="350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4,163</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3,177</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 w:name="xdx_403_eifrs-full--OperatingExpense_iT_"/>
            <w:bookmarkEnd w:id="79"/>
          </w:p>
        </w:tc>
      </w:tr>
      <w:tr>
        <w:trPr/>
        <w:tc>
          <w:tcPr>
            <w:tcW w:w="3500"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20,045</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16,955</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 w:name="xdx_400_eifrs-full--ProfitLossFromOperat"/>
            <w:bookmarkEnd w:id="80"/>
          </w:p>
        </w:tc>
      </w:tr>
      <w:tr>
        <w:trPr/>
        <w:tc>
          <w:tcPr>
            <w:tcW w:w="3500" w:type="dxa"/>
            <w:tcBorders/>
            <w:shd w:fill="FFFFFF" w:val="clear"/>
            <w:vAlign w:val="center"/>
          </w:tcPr>
          <w:p>
            <w:pPr>
              <w:pStyle w:val="TableContents"/>
              <w:bidi w:val="0"/>
              <w:spacing w:before="0" w:after="283"/>
              <w:jc w:val="left"/>
              <w:rPr>
                <w:sz w:val="20"/>
              </w:rPr>
            </w:pPr>
            <w:r>
              <w:rPr>
                <w:sz w:val="20"/>
              </w:rPr>
              <w:t>Operating profit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4,396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1,154</w:t>
            </w:r>
          </w:p>
        </w:tc>
        <w:tc>
          <w:tcPr>
            <w:tcW w:w="133" w:type="dxa"/>
            <w:tcBorders/>
            <w:shd w:fill="FFFFFF" w:val="clear"/>
            <w:vAlign w:val="center"/>
          </w:tcPr>
          <w:p>
            <w:pPr>
              <w:pStyle w:val="TableContents"/>
              <w:bidi w:val="0"/>
              <w:spacing w:before="0" w:after="283"/>
              <w:jc w:val="left"/>
              <w:rPr/>
            </w:pPr>
            <w:r>
              <w:rPr/>
              <w:t> </w:t>
            </w:r>
            <w:bookmarkStart w:id="81" w:name="xdx_402_eifrs-full--FinanceIncome_maCzZk"/>
            <w:bookmarkEnd w:id="81"/>
          </w:p>
        </w:tc>
      </w:tr>
      <w:tr>
        <w:trPr/>
        <w:tc>
          <w:tcPr>
            <w:tcW w:w="3500" w:type="dxa"/>
            <w:tcBorders/>
            <w:shd w:fill="CCEEFF" w:val="clear"/>
            <w:vAlign w:val="center"/>
          </w:tcPr>
          <w:p>
            <w:pPr>
              <w:pStyle w:val="TableContents"/>
              <w:bidi w:val="0"/>
              <w:spacing w:before="0" w:after="283"/>
              <w:jc w:val="left"/>
              <w:rPr>
                <w:sz w:val="20"/>
              </w:rPr>
            </w:pPr>
            <w:r>
              <w:rPr>
                <w:sz w:val="20"/>
              </w:rPr>
              <w:t>Finance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2,130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3,414</w:t>
            </w:r>
          </w:p>
        </w:tc>
        <w:tc>
          <w:tcPr>
            <w:tcW w:w="133" w:type="dxa"/>
            <w:tcBorders/>
            <w:shd w:fill="CCEEFF" w:val="clear"/>
            <w:vAlign w:val="center"/>
          </w:tcPr>
          <w:p>
            <w:pPr>
              <w:pStyle w:val="TableContents"/>
              <w:bidi w:val="0"/>
              <w:spacing w:before="0" w:after="283"/>
              <w:jc w:val="left"/>
              <w:rPr/>
            </w:pPr>
            <w:r>
              <w:rPr/>
              <w:t> </w:t>
            </w:r>
            <w:bookmarkStart w:id="82" w:name="xdx_40B_eifrs-full--FinanceCosts_msCzZkt"/>
            <w:bookmarkEnd w:id="82"/>
          </w:p>
        </w:tc>
      </w:tr>
      <w:tr>
        <w:trPr/>
        <w:tc>
          <w:tcPr>
            <w:tcW w:w="3500" w:type="dxa"/>
            <w:tcBorders/>
            <w:shd w:fill="FFFFFF" w:val="clear"/>
            <w:vAlign w:val="center"/>
          </w:tcPr>
          <w:p>
            <w:pPr>
              <w:pStyle w:val="TableContents"/>
              <w:bidi w:val="0"/>
              <w:spacing w:before="0" w:after="283"/>
              <w:jc w:val="left"/>
              <w:rPr>
                <w:sz w:val="20"/>
              </w:rPr>
            </w:pPr>
            <w:r>
              <w:rPr>
                <w:sz w:val="20"/>
              </w:rPr>
              <w:t>Finance expense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1,198</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1,207</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 w:name="xdx_406_eifrs-full--ProfitLossBeforeTax_"/>
            <w:bookmarkEnd w:id="83"/>
          </w:p>
        </w:tc>
      </w:tr>
      <w:tr>
        <w:trPr/>
        <w:tc>
          <w:tcPr>
            <w:tcW w:w="3500" w:type="dxa"/>
            <w:tcBorders/>
            <w:shd w:fill="CCEEFF" w:val="clear"/>
            <w:vAlign w:val="center"/>
          </w:tcPr>
          <w:p>
            <w:pPr>
              <w:pStyle w:val="TableContents"/>
              <w:bidi w:val="0"/>
              <w:spacing w:before="0" w:after="283"/>
              <w:jc w:val="left"/>
              <w:rPr>
                <w:sz w:val="20"/>
              </w:rPr>
            </w:pPr>
            <w:r>
              <w:rPr>
                <w:sz w:val="20"/>
              </w:rPr>
              <w:t>Profit before income taxes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5,328</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3,361</w:t>
            </w:r>
          </w:p>
        </w:tc>
        <w:tc>
          <w:tcPr>
            <w:tcW w:w="133" w:type="dxa"/>
            <w:tcBorders/>
            <w:shd w:fill="CCEEFF" w:val="clear"/>
            <w:vAlign w:val="center"/>
          </w:tcPr>
          <w:p>
            <w:pPr>
              <w:pStyle w:val="TableContents"/>
              <w:bidi w:val="0"/>
              <w:spacing w:before="0" w:after="283"/>
              <w:jc w:val="left"/>
              <w:rPr/>
            </w:pPr>
            <w:r>
              <w:rPr/>
              <w:t> </w:t>
            </w:r>
            <w:bookmarkStart w:id="84" w:name="xdx_40A_eifrs-full--IncomeTaxExpenseCont"/>
            <w:bookmarkEnd w:id="84"/>
          </w:p>
        </w:tc>
      </w:tr>
      <w:tr>
        <w:trPr/>
        <w:tc>
          <w:tcPr>
            <w:tcW w:w="350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328</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227</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 w:name="xdx_40F_eifrs-full--ProfitLoss_iT_mtCzSc"/>
            <w:bookmarkEnd w:id="85"/>
          </w:p>
        </w:tc>
      </w:tr>
      <w:tr>
        <w:trPr/>
        <w:tc>
          <w:tcPr>
            <w:tcW w:w="3500" w:type="dxa"/>
            <w:tcBorders/>
            <w:shd w:fill="CCEEFF" w:val="clear"/>
            <w:vAlign w:val="center"/>
          </w:tcPr>
          <w:p>
            <w:pPr>
              <w:pStyle w:val="TableContents"/>
              <w:bidi w:val="0"/>
              <w:spacing w:before="0" w:after="283"/>
              <w:jc w:val="left"/>
              <w:rPr>
                <w:sz w:val="20"/>
              </w:rPr>
            </w:pPr>
            <w:r>
              <w:rPr>
                <w:sz w:val="20"/>
              </w:rPr>
              <w:t>Net profit and total comprehensive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3,134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sz w:val="20"/>
              </w:rPr>
            </w:pPr>
            <w:r>
              <w:rPr>
                <w:sz w:val="20"/>
              </w:rPr>
              <w:t>Basic net earnings per share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86" w:name="xdx_90A_eifrs-full--BasicEarningsLossPer"/>
            <w:bookmarkEnd w:id="86"/>
            <w:r>
              <w:rPr>
                <w:sz w:val="20"/>
              </w:rPr>
              <w:t>0.13</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87" w:name="xdx_908_eifrs-full--BasicEarningsLossPer"/>
            <w:bookmarkEnd w:id="87"/>
            <w:r>
              <w:rPr>
                <w:sz w:val="20"/>
              </w:rPr>
              <w:t>0.08</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sz w:val="20"/>
              </w:rPr>
            </w:pPr>
            <w:r>
              <w:rPr>
                <w:sz w:val="20"/>
              </w:rPr>
              <w:t>Diluted net earnings per share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center"/>
              <w:rPr/>
            </w:pPr>
            <w:r>
              <w:rPr/>
              <w:t> </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88" w:name="xdx_90E_eifrs-full--DilutedEarningsLossP"/>
            <w:bookmarkEnd w:id="88"/>
            <w:r>
              <w:rPr>
                <w:sz w:val="20"/>
              </w:rPr>
              <w:t>0.12</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89" w:name="xdx_90F_eifrs-full--DilutedEarningsLossP"/>
            <w:bookmarkEnd w:id="89"/>
            <w:r>
              <w:rPr>
                <w:sz w:val="20"/>
              </w:rPr>
              <w:t>0.07</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28" w:after="28"/>
        <w:ind w:left="28" w:right="28" w:hanging="0"/>
        <w:jc w:val="left"/>
        <w:rPr/>
      </w:pPr>
      <w:r>
        <w:rPr/>
        <w:t> </w:t>
      </w:r>
    </w:p>
    <w:p>
      <w:pPr>
        <w:pStyle w:val="TextBody"/>
        <w:bidi w:val="0"/>
        <w:ind w:left="913" w:right="899" w:hanging="0"/>
        <w:jc w:val="center"/>
        <w:rPr>
          <w:sz w:val="20"/>
        </w:rPr>
      </w:pPr>
      <w:r>
        <w:rPr>
          <w:sz w:val="20"/>
        </w:rPr>
        <w:t>The accompanying Notes are an integral part of these condensed consolidated unaudited interim Financial Statements.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112" w:after="112"/>
        <w:ind w:left="112" w:right="112" w:hanging="0"/>
        <w:jc w:val="left"/>
        <w:rPr/>
      </w:pPr>
      <w:r>
        <w:rPr/>
        <w:t> </w:t>
      </w:r>
    </w:p>
    <w:p>
      <w:pPr>
        <w:pStyle w:val="TextBody"/>
        <w:bidi w:val="0"/>
        <w:spacing w:before="112" w:after="112"/>
        <w:ind w:left="112" w:right="112" w:hanging="0"/>
        <w:jc w:val="left"/>
        <w:rPr/>
      </w:pPr>
      <w:r>
        <w:rPr/>
        <w:t> </w:t>
      </w:r>
    </w:p>
    <w:p>
      <w:pPr>
        <w:pStyle w:val="TextBody"/>
        <w:bidi w:val="0"/>
        <w:spacing w:before="112" w:after="112"/>
        <w:ind w:left="112" w:right="112" w:hanging="0"/>
        <w:jc w:val="left"/>
        <w:rPr/>
      </w:pPr>
      <w:r>
        <w:rPr/>
        <w:t> </w:t>
      </w:r>
    </w:p>
    <w:p>
      <w:pPr>
        <w:pStyle w:val="TextBody"/>
        <w:bidi w:val="0"/>
        <w:spacing w:before="0" w:after="0"/>
        <w:ind w:left="0" w:right="0" w:hanging="0"/>
        <w:jc w:val="left"/>
        <w:rPr/>
      </w:pPr>
      <w:r>
        <w:rPr/>
        <w:t> </w:t>
      </w:r>
    </w:p>
    <w:p>
      <w:pPr>
        <w:pStyle w:val="TextBody"/>
        <w:bidi w:val="0"/>
        <w:spacing w:before="112" w:after="112"/>
        <w:ind w:left="112" w:right="112" w:hanging="0"/>
        <w:jc w:val="left"/>
        <w:rPr/>
      </w:pPr>
      <w:r>
        <w:rPr/>
        <w:t> </w:t>
      </w:r>
    </w:p>
    <w:p>
      <w:pPr>
        <w:pStyle w:val="TextBody"/>
        <w:bidi w:val="0"/>
        <w:spacing w:before="112" w:after="112"/>
        <w:ind w:left="112" w:right="112"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81" w:after="81"/>
        <w:ind w:left="907" w:right="899" w:hanging="0"/>
        <w:jc w:val="center"/>
        <w:rPr>
          <w:b/>
          <w:sz w:val="20"/>
        </w:rPr>
      </w:pPr>
      <w:bookmarkStart w:id="90" w:name="fs_equity"/>
      <w:bookmarkEnd w:id="90"/>
      <w:r>
        <w:rPr>
          <w:b/>
          <w:sz w:val="20"/>
        </w:rPr>
        <w:t>BRAINSWAY LTD. AND SUBSIDIARIES</w:t>
      </w:r>
    </w:p>
    <w:p>
      <w:pPr>
        <w:pStyle w:val="TextBody"/>
        <w:bidi w:val="0"/>
        <w:spacing w:before="7" w:after="7"/>
        <w:ind w:left="907" w:right="899" w:hanging="0"/>
        <w:jc w:val="center"/>
        <w:rPr>
          <w:b/>
          <w:sz w:val="20"/>
        </w:rPr>
      </w:pPr>
      <w:r>
        <w:rPr>
          <w:b/>
          <w:sz w:val="20"/>
        </w:rPr>
        <w:t>CONDENSED CONSOLIDATED UNAUDITED INTERIM STATEMENTS OF CHANGES IN EQUITY</w:t>
      </w:r>
    </w:p>
    <w:p>
      <w:pPr>
        <w:pStyle w:val="TextBody"/>
        <w:bidi w:val="0"/>
        <w:spacing w:before="0" w:after="0"/>
        <w:ind w:left="0" w:right="0" w:hanging="0"/>
        <w:jc w:val="left"/>
        <w:rPr/>
      </w:pPr>
      <w:r>
        <w:rPr/>
        <w:t> </w:t>
      </w:r>
    </w:p>
    <w:p>
      <w:pPr>
        <w:pStyle w:val="TextBody"/>
        <w:bidi w:val="0"/>
        <w:jc w:val="center"/>
        <w:rPr>
          <w:b/>
          <w:sz w:val="20"/>
        </w:rPr>
      </w:pPr>
      <w:r>
        <w:rPr>
          <w:b/>
          <w:sz w:val="20"/>
        </w:rPr>
        <w:t>U.S. dollars in thousands (except share and per share data)</w:t>
      </w:r>
    </w:p>
    <w:p>
      <w:pPr>
        <w:pStyle w:val="TextBody"/>
        <w:bidi w:val="0"/>
        <w:jc w:val="center"/>
        <w:rPr/>
      </w:pPr>
      <w:r>
        <w:rPr/>
        <w:t> </w:t>
      </w:r>
    </w:p>
    <w:p>
      <w:pPr>
        <w:pStyle w:val="Normal"/>
        <w:bidi w:val="0"/>
        <w:spacing w:before="0" w:after="0"/>
        <w:jc w:val="left"/>
        <w:rPr>
          <w:sz w:val="4"/>
          <w:szCs w:val="4"/>
        </w:rPr>
      </w:pPr>
      <w:r>
        <w:rPr>
          <w:sz w:val="4"/>
          <w:szCs w:val="4"/>
        </w:rPr>
      </w:r>
      <w:bookmarkStart w:id="91" w:name="xdx_305_pn3n3_zs4xHi2moRVf"/>
      <w:bookmarkStart w:id="92" w:name="xdx_305_pn3n3_zs4xHi2moRVf"/>
      <w:bookmarkEnd w:id="92"/>
    </w:p>
    <w:tbl>
      <w:tblPr>
        <w:tblW w:w="10205" w:type="dxa"/>
        <w:jc w:val="left"/>
        <w:tblInd w:w="0" w:type="dxa"/>
        <w:tblLayout w:type="fixed"/>
        <w:tblCellMar>
          <w:top w:w="0" w:type="dxa"/>
          <w:left w:w="0" w:type="dxa"/>
          <w:bottom w:w="0" w:type="dxa"/>
          <w:right w:w="0" w:type="dxa"/>
        </w:tblCellMar>
      </w:tblPr>
      <w:tblGrid>
        <w:gridCol w:w="2357"/>
        <w:gridCol w:w="60"/>
        <w:gridCol w:w="171"/>
        <w:gridCol w:w="523"/>
        <w:gridCol w:w="84"/>
        <w:gridCol w:w="60"/>
        <w:gridCol w:w="98"/>
        <w:gridCol w:w="1137"/>
        <w:gridCol w:w="98"/>
        <w:gridCol w:w="60"/>
        <w:gridCol w:w="139"/>
        <w:gridCol w:w="1278"/>
        <w:gridCol w:w="189"/>
        <w:gridCol w:w="60"/>
        <w:gridCol w:w="140"/>
        <w:gridCol w:w="1285"/>
        <w:gridCol w:w="190"/>
        <w:gridCol w:w="60"/>
        <w:gridCol w:w="98"/>
        <w:gridCol w:w="1080"/>
        <w:gridCol w:w="134"/>
        <w:gridCol w:w="60"/>
        <w:gridCol w:w="69"/>
        <w:gridCol w:w="680"/>
        <w:gridCol w:w="95"/>
      </w:tblGrid>
      <w:tr>
        <w:trPr/>
        <w:tc>
          <w:tcPr>
            <w:tcW w:w="23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93" w:name="xdx_4B3_ifrs-full--ComponentsOfEquityAxi"/>
            <w:bookmarkEnd w:id="93"/>
          </w:p>
        </w:tc>
        <w:tc>
          <w:tcPr>
            <w:tcW w:w="52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94" w:name="xdx_4BE_ifrs-full--ComponentsOfEquityAxi"/>
            <w:bookmarkEnd w:id="94"/>
          </w:p>
        </w:tc>
        <w:tc>
          <w:tcPr>
            <w:tcW w:w="113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bookmarkStart w:id="95" w:name="xdx_4BA_ifrs-full--ComponentsOfEquityAxi"/>
            <w:bookmarkEnd w:id="95"/>
          </w:p>
        </w:tc>
        <w:tc>
          <w:tcPr>
            <w:tcW w:w="1278"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 w:name="xdx_4BF_ifrs-full--ComponentsOfEquityAxi"/>
            <w:bookmarkEnd w:id="96"/>
          </w:p>
        </w:tc>
        <w:tc>
          <w:tcPr>
            <w:tcW w:w="1285"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97" w:name="xdx_4BC_ifrs-full--ComponentsOfEquityAxi"/>
            <w:bookmarkEnd w:id="97"/>
          </w:p>
        </w:tc>
        <w:tc>
          <w:tcPr>
            <w:tcW w:w="1080"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98" w:name="xdx_4B9_ziPel8bxGO5c"/>
            <w:bookmarkEnd w:id="98"/>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capital</w:t>
            </w:r>
          </w:p>
        </w:tc>
        <w:tc>
          <w:tcPr>
            <w:tcW w:w="60" w:type="dxa"/>
            <w:tcBorders/>
            <w:vAlign w:val="center"/>
          </w:tcPr>
          <w:p>
            <w:pPr>
              <w:pStyle w:val="TableContents"/>
              <w:bidi w:val="0"/>
              <w:spacing w:before="0" w:after="283"/>
              <w:jc w:val="left"/>
              <w:rPr/>
            </w:pPr>
            <w:r>
              <w:rPr/>
              <w:t> </w:t>
            </w:r>
          </w:p>
        </w:tc>
        <w:tc>
          <w:tcPr>
            <w:tcW w:w="1333" w:type="dxa"/>
            <w:gridSpan w:val="3"/>
            <w:tcBorders>
              <w:bottom w:val="single" w:sz="8" w:space="0" w:color="000000"/>
            </w:tcBorders>
            <w:tcMar>
              <w:bottom w:w="28" w:type="dxa"/>
            </w:tcMar>
            <w:vAlign w:val="center"/>
          </w:tcPr>
          <w:p>
            <w:pPr>
              <w:pStyle w:val="TableContents"/>
              <w:bidi w:val="0"/>
              <w:jc w:val="center"/>
              <w:rPr>
                <w:b/>
                <w:sz w:val="20"/>
              </w:rPr>
            </w:pPr>
            <w:r>
              <w:rPr>
                <w:b/>
                <w:sz w:val="20"/>
              </w:rPr>
              <w:t>Share</w:t>
            </w:r>
          </w:p>
          <w:p>
            <w:pPr>
              <w:pStyle w:val="TableContents"/>
              <w:bidi w:val="0"/>
              <w:spacing w:before="0" w:after="283"/>
              <w:jc w:val="center"/>
              <w:rPr>
                <w:b/>
                <w:sz w:val="20"/>
              </w:rPr>
            </w:pPr>
            <w:r>
              <w:rPr>
                <w:b/>
                <w:sz w:val="20"/>
              </w:rPr>
              <w:t>Premium and other reserves</w:t>
            </w:r>
          </w:p>
        </w:tc>
        <w:tc>
          <w:tcPr>
            <w:tcW w:w="60" w:type="dxa"/>
            <w:tcBorders/>
            <w:vAlign w:val="center"/>
          </w:tcPr>
          <w:p>
            <w:pPr>
              <w:pStyle w:val="TableContents"/>
              <w:bidi w:val="0"/>
              <w:spacing w:before="0" w:after="283"/>
              <w:jc w:val="left"/>
              <w:rPr/>
            </w:pPr>
            <w:r>
              <w:rPr/>
              <w:t> </w:t>
            </w:r>
          </w:p>
        </w:tc>
        <w:tc>
          <w:tcPr>
            <w:tcW w:w="160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Reserve for share-based payment</w:t>
            </w:r>
          </w:p>
        </w:tc>
        <w:tc>
          <w:tcPr>
            <w:tcW w:w="60" w:type="dxa"/>
            <w:tcBorders/>
            <w:vAlign w:val="center"/>
          </w:tcPr>
          <w:p>
            <w:pPr>
              <w:pStyle w:val="TableContents"/>
              <w:bidi w:val="0"/>
              <w:spacing w:before="0" w:after="283"/>
              <w:jc w:val="left"/>
              <w:rPr/>
            </w:pPr>
            <w:r>
              <w:rPr/>
              <w:t> </w:t>
            </w:r>
          </w:p>
        </w:tc>
        <w:tc>
          <w:tcPr>
            <w:tcW w:w="16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Currency translation adjustments</w:t>
            </w:r>
          </w:p>
        </w:tc>
        <w:tc>
          <w:tcPr>
            <w:tcW w:w="60" w:type="dxa"/>
            <w:tcBorders/>
            <w:vAlign w:val="center"/>
          </w:tcPr>
          <w:p>
            <w:pPr>
              <w:pStyle w:val="TableContents"/>
              <w:bidi w:val="0"/>
              <w:spacing w:before="0" w:after="283"/>
              <w:jc w:val="left"/>
              <w:rPr/>
            </w:pPr>
            <w:r>
              <w:rPr/>
              <w:t> </w:t>
            </w:r>
          </w:p>
        </w:tc>
        <w:tc>
          <w:tcPr>
            <w:tcW w:w="131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Accumulated deficit</w:t>
            </w:r>
          </w:p>
        </w:tc>
        <w:tc>
          <w:tcPr>
            <w:tcW w:w="60" w:type="dxa"/>
            <w:tcBorders/>
            <w:vAlign w:val="center"/>
          </w:tcPr>
          <w:p>
            <w:pPr>
              <w:pStyle w:val="TableContents"/>
              <w:bidi w:val="0"/>
              <w:spacing w:before="0" w:after="283"/>
              <w:jc w:val="left"/>
              <w:rPr/>
            </w:pPr>
            <w:r>
              <w:rPr/>
              <w:t> </w:t>
            </w:r>
          </w:p>
        </w:tc>
        <w:tc>
          <w:tcPr>
            <w:tcW w:w="84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 equity</w:t>
            </w:r>
          </w:p>
        </w:tc>
      </w:tr>
      <w:tr>
        <w:trPr/>
        <w:tc>
          <w:tcPr>
            <w:tcW w:w="2357" w:type="dxa"/>
            <w:tcBorders/>
            <w:vAlign w:val="center"/>
          </w:tcPr>
          <w:p>
            <w:pPr>
              <w:pStyle w:val="TableContents"/>
              <w:bidi w:val="0"/>
              <w:spacing w:before="0" w:after="283"/>
              <w:jc w:val="left"/>
              <w:rPr>
                <w:b/>
                <w:sz w:val="20"/>
              </w:rPr>
            </w:pPr>
            <w:r>
              <w:rPr>
                <w:b/>
                <w:sz w:val="20"/>
              </w:rPr>
              <w:t>For the six-month period ended June 30, 2026:</w:t>
            </w:r>
          </w:p>
        </w:tc>
        <w:tc>
          <w:tcPr>
            <w:tcW w:w="60" w:type="dxa"/>
            <w:tcBorders/>
            <w:vAlign w:val="center"/>
          </w:tcPr>
          <w:p>
            <w:pPr>
              <w:pStyle w:val="TableContents"/>
              <w:bidi w:val="0"/>
              <w:spacing w:before="0" w:after="283"/>
              <w:jc w:val="left"/>
              <w:rPr/>
            </w:pPr>
            <w:r>
              <w:rPr/>
              <w:t> </w:t>
            </w:r>
          </w:p>
        </w:tc>
        <w:tc>
          <w:tcPr>
            <w:tcW w:w="77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3"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1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3"/>
            <w:tcBorders/>
            <w:vAlign w:val="center"/>
          </w:tcPr>
          <w:p>
            <w:pPr>
              <w:pStyle w:val="TableContents"/>
              <w:bidi w:val="0"/>
              <w:spacing w:before="0" w:after="283"/>
              <w:jc w:val="left"/>
              <w:rPr/>
            </w:pPr>
            <w:r>
              <w:rPr/>
              <w:t> </w:t>
            </w:r>
            <w:bookmarkStart w:id="99" w:name="xdx_43F_c20260101__20260630_eifrs-full--"/>
            <w:bookmarkEnd w:id="99"/>
          </w:p>
        </w:tc>
      </w:tr>
      <w:tr>
        <w:trPr/>
        <w:tc>
          <w:tcPr>
            <w:tcW w:w="2357" w:type="dxa"/>
            <w:tcBorders/>
            <w:shd w:fill="CCEEFF" w:val="clear"/>
            <w:vAlign w:val="center"/>
          </w:tcPr>
          <w:p>
            <w:pPr>
              <w:pStyle w:val="TableContents"/>
              <w:bidi w:val="0"/>
              <w:spacing w:before="0" w:after="283"/>
              <w:jc w:val="left"/>
              <w:rPr>
                <w:b/>
                <w:sz w:val="20"/>
              </w:rPr>
            </w:pPr>
            <w:r>
              <w:rPr>
                <w:b/>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20"/>
              </w:rPr>
            </w:pPr>
            <w:r>
              <w:rPr>
                <w:sz w:val="20"/>
              </w:rPr>
              <w:t>$</w:t>
            </w:r>
          </w:p>
        </w:tc>
        <w:tc>
          <w:tcPr>
            <w:tcW w:w="523" w:type="dxa"/>
            <w:tcBorders/>
            <w:shd w:fill="CCEEFF" w:val="clear"/>
            <w:vAlign w:val="center"/>
          </w:tcPr>
          <w:p>
            <w:pPr>
              <w:pStyle w:val="TableContents"/>
              <w:bidi w:val="0"/>
              <w:spacing w:before="0" w:after="283"/>
              <w:jc w:val="right"/>
              <w:rPr>
                <w:sz w:val="20"/>
              </w:rPr>
            </w:pPr>
            <w:r>
              <w:rPr>
                <w:sz w:val="20"/>
              </w:rPr>
              <w:t>430</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sz w:val="20"/>
              </w:rPr>
            </w:pPr>
            <w:r>
              <w:rPr>
                <w:sz w:val="20"/>
              </w:rPr>
              <w:t>162,221</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sz w:val="20"/>
              </w:rPr>
            </w:pPr>
            <w:r>
              <w:rPr>
                <w:sz w:val="20"/>
              </w:rPr>
              <w:t>3,506</w:t>
            </w:r>
          </w:p>
        </w:tc>
        <w:tc>
          <w:tcPr>
            <w:tcW w:w="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sz w:val="20"/>
              </w:rPr>
            </w:pPr>
            <w:r>
              <w:rPr>
                <w:sz w:val="20"/>
              </w:rPr>
              <w:t>(2,188</w:t>
            </w:r>
          </w:p>
        </w:tc>
        <w:tc>
          <w:tcPr>
            <w:tcW w:w="1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(90,806</w:t>
            </w:r>
          </w:p>
        </w:tc>
        <w:tc>
          <w:tcPr>
            <w:tcW w:w="13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73,163</w:t>
            </w:r>
          </w:p>
        </w:tc>
        <w:tc>
          <w:tcPr>
            <w:tcW w:w="95" w:type="dxa"/>
            <w:tcBorders/>
            <w:shd w:fill="CCEEFF" w:val="clear"/>
            <w:vAlign w:val="center"/>
          </w:tcPr>
          <w:p>
            <w:pPr>
              <w:pStyle w:val="TableContents"/>
              <w:bidi w:val="0"/>
              <w:spacing w:before="0" w:after="283"/>
              <w:jc w:val="left"/>
              <w:rPr/>
            </w:pPr>
            <w:r>
              <w:rPr/>
              <w:t> </w:t>
            </w:r>
            <w:bookmarkStart w:id="100" w:name="xdx_40D_eifrs-full--ComprehensiveIncome_"/>
            <w:bookmarkEnd w:id="100"/>
          </w:p>
        </w:tc>
      </w:tr>
      <w:tr>
        <w:trPr/>
        <w:tc>
          <w:tcPr>
            <w:tcW w:w="2357" w:type="dxa"/>
            <w:tcBorders/>
            <w:shd w:fill="FFFFFF" w:val="clear"/>
            <w:vAlign w:val="center"/>
          </w:tcPr>
          <w:p>
            <w:pPr>
              <w:pStyle w:val="TableContents"/>
              <w:bidi w:val="0"/>
              <w:spacing w:before="0" w:after="283"/>
              <w:jc w:val="right"/>
              <w:rPr>
                <w:sz w:val="20"/>
              </w:rPr>
            </w:pPr>
            <w:r>
              <w:rPr>
                <w:sz w:val="20"/>
              </w:rPr>
              <w:t>Net profit and 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sz w:val="20"/>
              </w:rPr>
            </w:pPr>
            <w:r>
              <w:rPr>
                <w:sz w:val="20"/>
              </w:rPr>
              <w:t>5,000</w:t>
            </w:r>
          </w:p>
        </w:tc>
        <w:tc>
          <w:tcPr>
            <w:tcW w:w="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jc w:val="left"/>
              <w:rPr/>
            </w:pPr>
            <w:r>
              <w:rPr/>
              <w:t> </w:t>
            </w:r>
            <w:bookmarkStart w:id="101" w:name="xdx_403_ecustom--ExerciseOfSharebasedPay"/>
            <w:bookmarkEnd w:id="101"/>
          </w:p>
        </w:tc>
      </w:tr>
      <w:tr>
        <w:trPr/>
        <w:tc>
          <w:tcPr>
            <w:tcW w:w="2357" w:type="dxa"/>
            <w:tcBorders/>
            <w:shd w:fill="CCEEFF" w:val="clear"/>
            <w:vAlign w:val="center"/>
          </w:tcPr>
          <w:p>
            <w:pPr>
              <w:pStyle w:val="TableContents"/>
              <w:bidi w:val="0"/>
              <w:spacing w:before="0" w:after="283"/>
              <w:jc w:val="left"/>
              <w:rPr>
                <w:sz w:val="20"/>
              </w:rPr>
            </w:pPr>
            <w:r>
              <w:rPr>
                <w:sz w:val="20"/>
              </w:rPr>
              <w:t>Exercise of share-based payment into shares.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10</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sz w:val="20"/>
              </w:rPr>
            </w:pPr>
            <w:r>
              <w:rPr>
                <w:sz w:val="20"/>
              </w:rPr>
              <w:t>1,966</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sz w:val="20"/>
              </w:rPr>
            </w:pPr>
            <w:r>
              <w:rPr>
                <w:sz w:val="20"/>
              </w:rPr>
              <w:t>(1,976</w:t>
            </w:r>
          </w:p>
        </w:tc>
        <w:tc>
          <w:tcPr>
            <w:tcW w:w="18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2" w:name="xdx_409_eifrs-full--IncreaseDecreaseThro"/>
            <w:bookmarkEnd w:id="102"/>
          </w:p>
        </w:tc>
      </w:tr>
      <w:tr>
        <w:trPr/>
        <w:tc>
          <w:tcPr>
            <w:tcW w:w="2357" w:type="dxa"/>
            <w:tcBorders/>
            <w:shd w:fill="FFFFFF" w:val="clear"/>
            <w:vAlign w:val="center"/>
          </w:tcPr>
          <w:p>
            <w:pPr>
              <w:pStyle w:val="TableContents"/>
              <w:bidi w:val="0"/>
              <w:spacing w:before="0" w:after="283"/>
              <w:jc w:val="left"/>
              <w:rPr>
                <w:sz w:val="20"/>
              </w:rPr>
            </w:pPr>
            <w:r>
              <w:rPr>
                <w:sz w:val="20"/>
              </w:rPr>
              <w:t>Cost of share-based payment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1,026</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3" w:name="xdx_43C_c20260101__20260630_eifrs-full--"/>
            <w:bookmarkEnd w:id="103"/>
          </w:p>
        </w:tc>
      </w:tr>
      <w:tr>
        <w:trPr/>
        <w:tc>
          <w:tcPr>
            <w:tcW w:w="2357" w:type="dxa"/>
            <w:tcBorders/>
            <w:shd w:fill="CCEEFF" w:val="clear"/>
            <w:vAlign w:val="center"/>
          </w:tcPr>
          <w:p>
            <w:pPr>
              <w:pStyle w:val="TableContents"/>
              <w:bidi w:val="0"/>
              <w:spacing w:before="0" w:after="283"/>
              <w:jc w:val="left"/>
              <w:rPr>
                <w:b/>
                <w:sz w:val="20"/>
              </w:rPr>
            </w:pPr>
            <w:r>
              <w:rPr>
                <w:b/>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164,187</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2,556</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(2,188</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(85,806</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79,189</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35"/>
        <w:gridCol w:w="60"/>
        <w:gridCol w:w="175"/>
        <w:gridCol w:w="537"/>
        <w:gridCol w:w="87"/>
        <w:gridCol w:w="60"/>
        <w:gridCol w:w="70"/>
        <w:gridCol w:w="819"/>
        <w:gridCol w:w="70"/>
        <w:gridCol w:w="60"/>
        <w:gridCol w:w="160"/>
        <w:gridCol w:w="1300"/>
        <w:gridCol w:w="215"/>
        <w:gridCol w:w="60"/>
        <w:gridCol w:w="146"/>
        <w:gridCol w:w="1341"/>
        <w:gridCol w:w="199"/>
        <w:gridCol w:w="60"/>
        <w:gridCol w:w="100"/>
        <w:gridCol w:w="1098"/>
        <w:gridCol w:w="137"/>
        <w:gridCol w:w="60"/>
        <w:gridCol w:w="70"/>
        <w:gridCol w:w="691"/>
        <w:gridCol w:w="95"/>
      </w:tblGrid>
      <w:tr>
        <w:trPr/>
        <w:tc>
          <w:tcPr>
            <w:tcW w:w="2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capital</w:t>
            </w:r>
          </w:p>
        </w:tc>
        <w:tc>
          <w:tcPr>
            <w:tcW w:w="60" w:type="dxa"/>
            <w:tcBorders/>
            <w:vAlign w:val="center"/>
          </w:tcPr>
          <w:p>
            <w:pPr>
              <w:pStyle w:val="TableContents"/>
              <w:bidi w:val="0"/>
              <w:spacing w:before="0" w:after="283"/>
              <w:jc w:val="left"/>
              <w:rPr/>
            </w:pPr>
            <w:r>
              <w:rPr/>
              <w:t> </w:t>
            </w:r>
          </w:p>
        </w:tc>
        <w:tc>
          <w:tcPr>
            <w:tcW w:w="95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Share </w:t>
              <w:br/>
              <w:t xml:space="preserve">Premium and </w:t>
              <w:br/>
              <w:t>other reserves</w:t>
            </w:r>
          </w:p>
        </w:tc>
        <w:tc>
          <w:tcPr>
            <w:tcW w:w="60" w:type="dxa"/>
            <w:tcBorders/>
            <w:vAlign w:val="center"/>
          </w:tcPr>
          <w:p>
            <w:pPr>
              <w:pStyle w:val="TableContents"/>
              <w:bidi w:val="0"/>
              <w:spacing w:before="0" w:after="283"/>
              <w:jc w:val="left"/>
              <w:rPr/>
            </w:pPr>
            <w:r>
              <w:rPr/>
              <w:t> </w:t>
            </w:r>
          </w:p>
        </w:tc>
        <w:tc>
          <w:tcPr>
            <w:tcW w:w="16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Reserve for share-based payment</w:t>
            </w:r>
          </w:p>
        </w:tc>
        <w:tc>
          <w:tcPr>
            <w:tcW w:w="60" w:type="dxa"/>
            <w:tcBorders/>
            <w:vAlign w:val="center"/>
          </w:tcPr>
          <w:p>
            <w:pPr>
              <w:pStyle w:val="TableContents"/>
              <w:bidi w:val="0"/>
              <w:spacing w:before="0" w:after="283"/>
              <w:jc w:val="left"/>
              <w:rPr/>
            </w:pPr>
            <w:r>
              <w:rPr/>
              <w:t> </w:t>
            </w:r>
          </w:p>
        </w:tc>
        <w:tc>
          <w:tcPr>
            <w:tcW w:w="16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Currency translation adjustments</w:t>
            </w:r>
          </w:p>
        </w:tc>
        <w:tc>
          <w:tcPr>
            <w:tcW w:w="60" w:type="dxa"/>
            <w:tcBorders/>
            <w:vAlign w:val="center"/>
          </w:tcPr>
          <w:p>
            <w:pPr>
              <w:pStyle w:val="TableContents"/>
              <w:bidi w:val="0"/>
              <w:spacing w:before="0" w:after="283"/>
              <w:jc w:val="left"/>
              <w:rPr/>
            </w:pPr>
            <w:r>
              <w:rPr/>
              <w:t> </w:t>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Accumulated deficit</w:t>
            </w:r>
          </w:p>
        </w:tc>
        <w:tc>
          <w:tcPr>
            <w:tcW w:w="60" w:type="dxa"/>
            <w:tcBorders/>
            <w:vAlign w:val="center"/>
          </w:tcPr>
          <w:p>
            <w:pPr>
              <w:pStyle w:val="TableContents"/>
              <w:bidi w:val="0"/>
              <w:spacing w:before="0" w:after="283"/>
              <w:jc w:val="left"/>
              <w:rPr/>
            </w:pPr>
            <w:r>
              <w:rPr/>
              <w:t> </w:t>
            </w:r>
          </w:p>
        </w:tc>
        <w:tc>
          <w:tcPr>
            <w:tcW w:w="85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 equity</w:t>
            </w:r>
          </w:p>
        </w:tc>
      </w:tr>
      <w:tr>
        <w:trPr/>
        <w:tc>
          <w:tcPr>
            <w:tcW w:w="2535" w:type="dxa"/>
            <w:tcBorders/>
            <w:vAlign w:val="center"/>
          </w:tcPr>
          <w:p>
            <w:pPr>
              <w:pStyle w:val="TableContents"/>
              <w:bidi w:val="0"/>
              <w:spacing w:before="0" w:after="283"/>
              <w:jc w:val="left"/>
              <w:rPr>
                <w:b/>
                <w:sz w:val="20"/>
              </w:rPr>
            </w:pPr>
            <w:r>
              <w:rPr>
                <w:b/>
                <w:sz w:val="20"/>
              </w:rPr>
              <w:t>For the six-month period ended June 30, 2025:</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104" w:name="xdx_43E_c20250101__20250630_eifrs-full--"/>
            <w:bookmarkEnd w:id="104"/>
          </w:p>
        </w:tc>
      </w:tr>
      <w:tr>
        <w:trPr/>
        <w:tc>
          <w:tcPr>
            <w:tcW w:w="2535" w:type="dxa"/>
            <w:tcBorders/>
            <w:shd w:fill="CCEEFF" w:val="clear"/>
            <w:vAlign w:val="center"/>
          </w:tcPr>
          <w:p>
            <w:pPr>
              <w:pStyle w:val="TableContents"/>
              <w:bidi w:val="0"/>
              <w:spacing w:before="0" w:after="283"/>
              <w:jc w:val="left"/>
              <w:rPr>
                <w:b/>
                <w:sz w:val="20"/>
              </w:rPr>
            </w:pPr>
            <w:r>
              <w:rPr>
                <w:b/>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20"/>
              </w:rPr>
            </w:pPr>
            <w:r>
              <w:rPr>
                <w:sz w:val="20"/>
              </w:rPr>
              <w:t>$</w:t>
            </w:r>
          </w:p>
        </w:tc>
        <w:tc>
          <w:tcPr>
            <w:tcW w:w="537" w:type="dxa"/>
            <w:tcBorders/>
            <w:shd w:fill="CCEEFF" w:val="clear"/>
            <w:vAlign w:val="center"/>
          </w:tcPr>
          <w:p>
            <w:pPr>
              <w:pStyle w:val="TableContents"/>
              <w:bidi w:val="0"/>
              <w:spacing w:before="0" w:after="283"/>
              <w:jc w:val="right"/>
              <w:rPr>
                <w:sz w:val="20"/>
              </w:rPr>
            </w:pPr>
            <w:r>
              <w:rPr>
                <w:sz w:val="20"/>
              </w:rPr>
              <w:t>413</w:t>
            </w:r>
          </w:p>
        </w:tc>
        <w:tc>
          <w:tcPr>
            <w:tcW w:w="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sz w:val="20"/>
              </w:rPr>
            </w:pPr>
            <w:r>
              <w:rPr>
                <w:sz w:val="20"/>
              </w:rPr>
              <w:t>157,597</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4,872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sz w:val="20"/>
              </w:rPr>
            </w:pPr>
            <w:r>
              <w:rPr>
                <w:sz w:val="20"/>
              </w:rPr>
              <w:t>(2,188</w:t>
            </w:r>
          </w:p>
        </w:tc>
        <w:tc>
          <w:tcPr>
            <w:tcW w:w="19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sz w:val="20"/>
              </w:rPr>
            </w:pPr>
            <w:r>
              <w:rPr>
                <w:sz w:val="20"/>
              </w:rPr>
              <w:t>(98,381</w:t>
            </w:r>
          </w:p>
        </w:tc>
        <w:tc>
          <w:tcPr>
            <w:tcW w:w="13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sz w:val="20"/>
              </w:rPr>
            </w:pPr>
            <w:r>
              <w:rPr>
                <w:sz w:val="20"/>
              </w:rPr>
              <w:t>62,313</w:t>
            </w:r>
          </w:p>
        </w:tc>
        <w:tc>
          <w:tcPr>
            <w:tcW w:w="95" w:type="dxa"/>
            <w:tcBorders/>
            <w:shd w:fill="CCEEFF" w:val="clear"/>
            <w:vAlign w:val="center"/>
          </w:tcPr>
          <w:p>
            <w:pPr>
              <w:pStyle w:val="TableContents"/>
              <w:bidi w:val="0"/>
              <w:spacing w:before="0" w:after="283"/>
              <w:jc w:val="left"/>
              <w:rPr/>
            </w:pPr>
            <w:r>
              <w:rPr/>
              <w:t> </w:t>
            </w:r>
            <w:bookmarkStart w:id="105" w:name="xdx_40D_eifrs-full--ComprehensiveIncome_"/>
            <w:bookmarkEnd w:id="105"/>
          </w:p>
        </w:tc>
      </w:tr>
      <w:tr>
        <w:trPr/>
        <w:tc>
          <w:tcPr>
            <w:tcW w:w="2535" w:type="dxa"/>
            <w:tcBorders/>
            <w:shd w:fill="FFFFFF" w:val="clear"/>
            <w:vAlign w:val="center"/>
          </w:tcPr>
          <w:p>
            <w:pPr>
              <w:pStyle w:val="TableContents"/>
              <w:bidi w:val="0"/>
              <w:spacing w:before="0" w:after="283"/>
              <w:jc w:val="right"/>
              <w:rPr>
                <w:sz w:val="20"/>
              </w:rPr>
            </w:pPr>
            <w:r>
              <w:rPr>
                <w:sz w:val="20"/>
              </w:rPr>
              <w:t>Net profit and 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sz w:val="20"/>
              </w:rPr>
            </w:pPr>
            <w:r>
              <w:rPr>
                <w:sz w:val="20"/>
              </w:rPr>
              <w:t>3,134</w:t>
            </w:r>
          </w:p>
        </w:tc>
        <w:tc>
          <w:tcPr>
            <w:tcW w:w="1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sz w:val="20"/>
              </w:rPr>
            </w:pPr>
            <w:r>
              <w:rPr>
                <w:sz w:val="20"/>
              </w:rPr>
              <w:t>3,134</w:t>
            </w:r>
          </w:p>
        </w:tc>
        <w:tc>
          <w:tcPr>
            <w:tcW w:w="95" w:type="dxa"/>
            <w:tcBorders/>
            <w:shd w:fill="FFFFFF" w:val="clear"/>
            <w:vAlign w:val="center"/>
          </w:tcPr>
          <w:p>
            <w:pPr>
              <w:pStyle w:val="TableContents"/>
              <w:bidi w:val="0"/>
              <w:spacing w:before="0" w:after="283"/>
              <w:jc w:val="left"/>
              <w:rPr/>
            </w:pPr>
            <w:r>
              <w:rPr/>
              <w:t> </w:t>
            </w:r>
            <w:bookmarkStart w:id="106" w:name="xdx_40A_ecustom--ExerciseOfSharebasedPay"/>
            <w:bookmarkEnd w:id="106"/>
          </w:p>
        </w:tc>
      </w:tr>
      <w:tr>
        <w:trPr/>
        <w:tc>
          <w:tcPr>
            <w:tcW w:w="2535" w:type="dxa"/>
            <w:tcBorders/>
            <w:shd w:fill="CCEEFF" w:val="clear"/>
            <w:vAlign w:val="center"/>
          </w:tcPr>
          <w:p>
            <w:pPr>
              <w:pStyle w:val="TableContents"/>
              <w:bidi w:val="0"/>
              <w:spacing w:before="0" w:after="283"/>
              <w:jc w:val="left"/>
              <w:rPr>
                <w:sz w:val="20"/>
              </w:rPr>
            </w:pPr>
            <w:r>
              <w:rPr>
                <w:sz w:val="20"/>
              </w:rPr>
              <w:t>Exercise of share-based payment into shares.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sz w:val="20"/>
              </w:rPr>
            </w:pPr>
            <w:r>
              <w:rPr>
                <w:sz w:val="20"/>
              </w:rPr>
              <w:t>2</w:t>
            </w:r>
          </w:p>
        </w:tc>
        <w:tc>
          <w:tcPr>
            <w:tcW w:w="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sz w:val="20"/>
              </w:rPr>
            </w:pPr>
            <w:r>
              <w:rPr>
                <w:sz w:val="20"/>
              </w:rPr>
              <w:t>799</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(801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7" w:name="xdx_402_ecustom--NumberOfShareOptionsExe"/>
            <w:bookmarkEnd w:id="107"/>
          </w:p>
        </w:tc>
      </w:tr>
      <w:tr>
        <w:trPr/>
        <w:tc>
          <w:tcPr>
            <w:tcW w:w="2535" w:type="dxa"/>
            <w:tcBorders/>
            <w:shd w:fill="FFFFFF" w:val="clear"/>
            <w:vAlign w:val="center"/>
          </w:tcPr>
          <w:p>
            <w:pPr>
              <w:pStyle w:val="TableContents"/>
              <w:bidi w:val="0"/>
              <w:spacing w:before="0" w:after="283"/>
              <w:jc w:val="left"/>
              <w:rPr>
                <w:sz w:val="20"/>
              </w:rPr>
            </w:pPr>
            <w:r>
              <w:rPr>
                <w:sz w:val="20"/>
              </w:rPr>
              <w:t>Expiration of share options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sz w:val="20"/>
              </w:rPr>
            </w:pPr>
            <w:r>
              <w:rPr>
                <w:sz w:val="20"/>
              </w:rPr>
              <w:t>2</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sz w:val="20"/>
              </w:rPr>
            </w:pPr>
            <w:r>
              <w:rPr>
                <w:sz w:val="20"/>
              </w:rPr>
              <w:t>(2</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08" w:name="xdx_404_eifrs-full--IncreaseDecreaseThro"/>
            <w:bookmarkEnd w:id="108"/>
          </w:p>
        </w:tc>
      </w:tr>
      <w:tr>
        <w:trPr/>
        <w:tc>
          <w:tcPr>
            <w:tcW w:w="2535" w:type="dxa"/>
            <w:tcBorders/>
            <w:shd w:fill="CCEEFF" w:val="clear"/>
            <w:vAlign w:val="center"/>
          </w:tcPr>
          <w:p>
            <w:pPr>
              <w:pStyle w:val="TableContents"/>
              <w:bidi w:val="0"/>
              <w:spacing w:before="0" w:after="283"/>
              <w:jc w:val="left"/>
              <w:rPr>
                <w:sz w:val="20"/>
              </w:rPr>
            </w:pPr>
            <w:r>
              <w:rPr>
                <w:sz w:val="20"/>
              </w:rPr>
              <w:t>Cost of share-based payment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559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sz w:val="20"/>
              </w:rPr>
            </w:pPr>
            <w:r>
              <w:rPr>
                <w:sz w:val="20"/>
              </w:rPr>
              <w:t>559</w:t>
            </w:r>
          </w:p>
        </w:tc>
        <w:tc>
          <w:tcPr>
            <w:tcW w:w="95" w:type="dxa"/>
            <w:tcBorders/>
            <w:shd w:fill="CCEEFF" w:val="clear"/>
            <w:vAlign w:val="center"/>
          </w:tcPr>
          <w:p>
            <w:pPr>
              <w:pStyle w:val="TableContents"/>
              <w:bidi w:val="0"/>
              <w:spacing w:before="0" w:after="283"/>
              <w:jc w:val="left"/>
              <w:rPr/>
            </w:pPr>
            <w:r>
              <w:rPr/>
              <w:t> </w:t>
            </w:r>
            <w:bookmarkStart w:id="109" w:name="xdx_40B_eifrs-full--ProceedsFromExercise"/>
            <w:bookmarkEnd w:id="109"/>
          </w:p>
        </w:tc>
      </w:tr>
      <w:tr>
        <w:trPr/>
        <w:tc>
          <w:tcPr>
            <w:tcW w:w="2535" w:type="dxa"/>
            <w:tcBorders/>
            <w:shd w:fill="FFFFFF" w:val="clear"/>
            <w:vAlign w:val="center"/>
          </w:tcPr>
          <w:p>
            <w:pPr>
              <w:pStyle w:val="TableContents"/>
              <w:bidi w:val="0"/>
              <w:spacing w:before="0" w:after="283"/>
              <w:jc w:val="left"/>
              <w:rPr>
                <w:sz w:val="20"/>
              </w:rPr>
            </w:pPr>
            <w:r>
              <w:rPr>
                <w:sz w:val="20"/>
              </w:rPr>
              <w:t>Reclassification of Warrants from liability</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2,126</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2,126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 w:name="xdx_43B_c20250101__20250630_eifrs-full--"/>
            <w:bookmarkEnd w:id="110"/>
          </w:p>
        </w:tc>
      </w:tr>
      <w:tr>
        <w:trPr/>
        <w:tc>
          <w:tcPr>
            <w:tcW w:w="2535" w:type="dxa"/>
            <w:tcBorders/>
            <w:shd w:fill="CCEEFF" w:val="clear"/>
            <w:vAlign w:val="center"/>
          </w:tcPr>
          <w:p>
            <w:pPr>
              <w:pStyle w:val="TableContents"/>
              <w:bidi w:val="0"/>
              <w:spacing w:before="0" w:after="283"/>
              <w:jc w:val="left"/>
              <w:rPr>
                <w:b/>
                <w:sz w:val="20"/>
              </w:rPr>
            </w:pPr>
            <w:r>
              <w:rPr>
                <w:b/>
                <w:sz w:val="20"/>
              </w:rPr>
              <w:t>Balance as of June 30, 2025</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415</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160,524</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4,628</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(2,188</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(95,247</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68,132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19" w:after="19"/>
        <w:ind w:left="19" w:right="19" w:hanging="0"/>
        <w:jc w:val="left"/>
        <w:rPr/>
      </w:pPr>
      <w:r>
        <w:rPr/>
        <w:t> </w:t>
      </w:r>
    </w:p>
    <w:p>
      <w:pPr>
        <w:pStyle w:val="TextBody"/>
        <w:bidi w:val="0"/>
        <w:ind w:left="907" w:right="899" w:hanging="0"/>
        <w:jc w:val="center"/>
        <w:rPr>
          <w:sz w:val="20"/>
        </w:rPr>
      </w:pPr>
      <w:r>
        <w:rPr>
          <w:sz w:val="20"/>
        </w:rPr>
        <w:t>The accompanying Notes are an integral part of these condensed consolidated unaudited interim Financial Statements.</w:t>
      </w:r>
    </w:p>
    <w:p>
      <w:pPr>
        <w:pStyle w:val="TextBody"/>
        <w:bidi w:val="0"/>
        <w:spacing w:before="98" w:after="98"/>
        <w:ind w:left="98" w:right="98" w:hanging="0"/>
        <w:jc w:val="left"/>
        <w:rPr/>
      </w:pPr>
      <w:r>
        <w:rPr/>
        <w:t> </w:t>
      </w:r>
    </w:p>
    <w:p>
      <w:pPr>
        <w:pStyle w:val="TextBody"/>
        <w:bidi w:val="0"/>
        <w:ind w:left="907" w:right="899" w:hanging="0"/>
        <w:jc w:val="center"/>
        <w:rPr/>
      </w:pPr>
      <w:r>
        <w:rPr/>
        <w:t> </w:t>
      </w:r>
    </w:p>
    <w:p>
      <w:pPr>
        <w:pStyle w:val="TextBody"/>
        <w:bidi w:val="0"/>
        <w:ind w:left="907" w:right="899" w:hanging="0"/>
        <w:jc w:val="center"/>
        <w:rPr/>
      </w:pPr>
      <w:r>
        <w:rPr/>
        <w:t> </w:t>
      </w:r>
    </w:p>
    <w:p>
      <w:pPr>
        <w:pStyle w:val="TextBody"/>
        <w:bidi w:val="0"/>
        <w:ind w:left="907" w:right="899" w:hanging="0"/>
        <w:jc w:val="center"/>
        <w:rPr/>
      </w:pPr>
      <w:r>
        <w:rPr/>
        <w:t> </w:t>
      </w:r>
    </w:p>
    <w:p>
      <w:pPr>
        <w:pStyle w:val="TextBody"/>
        <w:bidi w:val="0"/>
        <w:ind w:left="907" w:right="899" w:hanging="0"/>
        <w:jc w:val="center"/>
        <w:rPr/>
      </w:pPr>
      <w:r>
        <w:rPr/>
        <w:t> </w:t>
      </w:r>
    </w:p>
    <w:p>
      <w:pPr>
        <w:pStyle w:val="TextBody"/>
        <w:bidi w:val="0"/>
        <w:ind w:left="907" w:right="899" w:hanging="0"/>
        <w:jc w:val="center"/>
        <w:rPr/>
      </w:pPr>
      <w:r>
        <w:rPr/>
        <w:t> </w:t>
      </w:r>
    </w:p>
    <w:p>
      <w:pPr>
        <w:pStyle w:val="TextBody"/>
        <w:bidi w:val="0"/>
        <w:ind w:left="907" w:right="899" w:hanging="0"/>
        <w:jc w:val="center"/>
        <w:rPr/>
      </w:pPr>
      <w:r>
        <w:rPr/>
        <w:t> </w:t>
      </w:r>
    </w:p>
    <w:p>
      <w:pPr>
        <w:pStyle w:val="TextBody"/>
        <w:bidi w:val="0"/>
        <w:ind w:left="907" w:right="899"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81" w:after="81"/>
        <w:ind w:left="907" w:right="899" w:hanging="0"/>
        <w:jc w:val="center"/>
        <w:rPr>
          <w:b/>
          <w:sz w:val="20"/>
        </w:rPr>
      </w:pPr>
      <w:bookmarkStart w:id="111" w:name="fs_cf"/>
      <w:bookmarkEnd w:id="111"/>
      <w:r>
        <w:rPr>
          <w:b/>
          <w:sz w:val="20"/>
        </w:rPr>
        <w:t>BRAINSWAY LTD. AND SUBSIDIARIES</w:t>
      </w:r>
    </w:p>
    <w:p>
      <w:pPr>
        <w:pStyle w:val="TextBody"/>
        <w:bidi w:val="0"/>
        <w:spacing w:before="7" w:after="7"/>
        <w:ind w:left="907" w:right="899" w:hanging="0"/>
        <w:jc w:val="center"/>
        <w:rPr>
          <w:b/>
          <w:sz w:val="20"/>
        </w:rPr>
      </w:pPr>
      <w:r>
        <w:rPr>
          <w:b/>
          <w:sz w:val="20"/>
        </w:rPr>
        <w:t>CONDENSED CONSOLIDATED UNAUDITED INTERIM STATEMENTS OF CASH FLOWS</w:t>
      </w:r>
    </w:p>
    <w:p>
      <w:pPr>
        <w:pStyle w:val="TextBody"/>
        <w:bidi w:val="0"/>
        <w:spacing w:before="0" w:after="0"/>
        <w:ind w:left="0" w:right="0" w:hanging="0"/>
        <w:jc w:val="left"/>
        <w:rPr/>
      </w:pPr>
      <w:r>
        <w:rPr/>
        <w:t> </w:t>
      </w:r>
    </w:p>
    <w:p>
      <w:pPr>
        <w:pStyle w:val="TextBody"/>
        <w:bidi w:val="0"/>
        <w:jc w:val="center"/>
        <w:rPr>
          <w:b/>
          <w:sz w:val="20"/>
        </w:rPr>
      </w:pPr>
      <w:r>
        <w:rPr>
          <w:b/>
          <w:sz w:val="20"/>
        </w:rPr>
        <w:t>U.S. dollars in thousands (except share and per share data)</w:t>
      </w:r>
    </w:p>
    <w:p>
      <w:pPr>
        <w:pStyle w:val="TextBody"/>
        <w:bidi w:val="0"/>
        <w:spacing w:before="119" w:after="119"/>
        <w:ind w:left="119" w:right="119" w:hanging="0"/>
        <w:jc w:val="left"/>
        <w:rPr/>
      </w:pPr>
      <w:r>
        <w:rPr/>
        <w:t> </w:t>
      </w:r>
    </w:p>
    <w:p>
      <w:pPr>
        <w:pStyle w:val="Normal"/>
        <w:bidi w:val="0"/>
        <w:spacing w:before="0" w:after="0"/>
        <w:jc w:val="left"/>
        <w:rPr>
          <w:sz w:val="4"/>
          <w:szCs w:val="4"/>
        </w:rPr>
      </w:pPr>
      <w:r>
        <w:rPr>
          <w:sz w:val="4"/>
          <w:szCs w:val="4"/>
        </w:rPr>
      </w:r>
      <w:bookmarkStart w:id="112" w:name="xdx_301_112_pn3n3_zdZAIXZyeCH7"/>
      <w:bookmarkStart w:id="113" w:name="xdx_301_112_pn3n3_zdZAIXZyeCH7"/>
      <w:bookmarkEnd w:id="113"/>
    </w:p>
    <w:tbl>
      <w:tblPr>
        <w:tblW w:w="9022" w:type="dxa"/>
        <w:jc w:val="left"/>
        <w:tblInd w:w="0" w:type="dxa"/>
        <w:tblLayout w:type="fixed"/>
        <w:tblCellMar>
          <w:top w:w="0" w:type="dxa"/>
          <w:left w:w="0" w:type="dxa"/>
          <w:bottom w:w="0" w:type="dxa"/>
          <w:right w:w="0" w:type="dxa"/>
        </w:tblCellMar>
      </w:tblPr>
      <w:tblGrid>
        <w:gridCol w:w="6080"/>
        <w:gridCol w:w="60"/>
        <w:gridCol w:w="202"/>
        <w:gridCol w:w="1050"/>
        <w:gridCol w:w="129"/>
        <w:gridCol w:w="96"/>
        <w:gridCol w:w="202"/>
        <w:gridCol w:w="1050"/>
        <w:gridCol w:w="153"/>
      </w:tblGrid>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114" w:name="xdx_49A_20260101__20260630_zxPNTR6642d9"/>
            <w:bookmarkEnd w:id="114"/>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115" w:name="xdx_49D_20250101__20250630_zOvmvQMRP4O8"/>
            <w:bookmarkEnd w:id="115"/>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6" w:type="dxa"/>
            <w:tcBorders/>
            <w:vAlign w:val="center"/>
          </w:tcPr>
          <w:p>
            <w:pPr>
              <w:pStyle w:val="TableContents"/>
              <w:bidi w:val="0"/>
              <w:spacing w:before="0" w:after="283"/>
              <w:jc w:val="left"/>
              <w:rPr/>
            </w:pPr>
            <w:r>
              <w:rPr/>
              <w:t> </w:t>
            </w:r>
          </w:p>
        </w:tc>
        <w:tc>
          <w:tcPr>
            <w:tcW w:w="14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bookmarkStart w:id="116" w:name="xdx_400_eifrs-full--CashFlowsFromUsedInO"/>
            <w:bookmarkEnd w:id="116"/>
          </w:p>
        </w:tc>
      </w:tr>
      <w:tr>
        <w:trPr/>
        <w:tc>
          <w:tcPr>
            <w:tcW w:w="6080" w:type="dxa"/>
            <w:tcBorders/>
            <w:shd w:fill="FFFFFF" w:val="clear"/>
            <w:vAlign w:val="center"/>
          </w:tcPr>
          <w:p>
            <w:pPr>
              <w:pStyle w:val="TableContents"/>
              <w:bidi w:val="0"/>
              <w:spacing w:before="0" w:after="283"/>
              <w:jc w:val="left"/>
              <w:rPr>
                <w:i/>
                <w:sz w:val="20"/>
              </w:rPr>
            </w:pPr>
            <w:r>
              <w:rPr>
                <w:i/>
                <w:sz w:val="20"/>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17" w:name="xdx_40D_eifrs-full--ProfitLoss_i01_maCzl"/>
            <w:bookmarkEnd w:id="117"/>
          </w:p>
        </w:tc>
      </w:tr>
      <w:tr>
        <w:trPr/>
        <w:tc>
          <w:tcPr>
            <w:tcW w:w="6080" w:type="dxa"/>
            <w:tcBorders/>
            <w:shd w:fill="CCEEFF" w:val="clear"/>
            <w:vAlign w:val="center"/>
          </w:tcPr>
          <w:p>
            <w:pPr>
              <w:pStyle w:val="TableContents"/>
              <w:bidi w:val="0"/>
              <w:spacing w:before="0" w:after="283"/>
              <w:jc w:val="left"/>
              <w:rPr>
                <w:sz w:val="20"/>
              </w:rPr>
            </w:pPr>
            <w:r>
              <w:rPr>
                <w:sz w:val="20"/>
              </w:rPr>
              <w:t>Net profit for the period</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1050" w:type="dxa"/>
            <w:tcBorders/>
            <w:shd w:fill="CCEEFF" w:val="clear"/>
            <w:vAlign w:val="center"/>
          </w:tcPr>
          <w:p>
            <w:pPr>
              <w:pStyle w:val="TableContents"/>
              <w:bidi w:val="0"/>
              <w:spacing w:before="0" w:after="283"/>
              <w:jc w:val="right"/>
              <w:rPr>
                <w:sz w:val="20"/>
              </w:rPr>
            </w:pPr>
            <w:r>
              <w:rPr>
                <w:sz w:val="20"/>
              </w:rPr>
              <w:t>5,000</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1050" w:type="dxa"/>
            <w:tcBorders/>
            <w:shd w:fill="CCEEFF" w:val="clear"/>
            <w:vAlign w:val="center"/>
          </w:tcPr>
          <w:p>
            <w:pPr>
              <w:pStyle w:val="TableContents"/>
              <w:bidi w:val="0"/>
              <w:spacing w:before="0" w:after="283"/>
              <w:jc w:val="right"/>
              <w:rPr>
                <w:sz w:val="20"/>
              </w:rPr>
            </w:pPr>
            <w:r>
              <w:rPr>
                <w:sz w:val="20"/>
              </w:rPr>
              <w:t>3,134</w:t>
            </w:r>
          </w:p>
        </w:tc>
        <w:tc>
          <w:tcPr>
            <w:tcW w:w="153" w:type="dxa"/>
            <w:tcBorders/>
            <w:shd w:fill="CCEEFF" w:val="clear"/>
            <w:vAlign w:val="center"/>
          </w:tcPr>
          <w:p>
            <w:pPr>
              <w:pStyle w:val="TableContents"/>
              <w:bidi w:val="0"/>
              <w:spacing w:before="0" w:after="283"/>
              <w:jc w:val="left"/>
              <w:rPr/>
            </w:pPr>
            <w:r>
              <w:rPr/>
              <w:t> </w:t>
            </w:r>
            <w:bookmarkStart w:id="118" w:name="xdx_405_eifrs-full--AdjustmentsForReconc"/>
            <w:bookmarkEnd w:id="118"/>
          </w:p>
        </w:tc>
      </w:tr>
      <w:tr>
        <w:trPr/>
        <w:tc>
          <w:tcPr>
            <w:tcW w:w="6080" w:type="dxa"/>
            <w:tcBorders/>
            <w:shd w:fill="FFFFFF" w:val="clear"/>
            <w:vAlign w:val="center"/>
          </w:tcPr>
          <w:p>
            <w:pPr>
              <w:pStyle w:val="TableContents"/>
              <w:bidi w:val="0"/>
              <w:spacing w:before="0" w:after="283"/>
              <w:jc w:val="left"/>
              <w:rPr>
                <w:sz w:val="20"/>
              </w:rPr>
            </w:pPr>
            <w:r>
              <w:rPr>
                <w:sz w:val="20"/>
              </w:rPr>
              <w:t>Adjustments to reconcile net profit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19" w:name="xdx_40E_eifrs-full--AdjustmentsForDeprec"/>
            <w:bookmarkEnd w:id="119"/>
          </w:p>
        </w:tc>
      </w:tr>
      <w:tr>
        <w:trPr/>
        <w:tc>
          <w:tcPr>
            <w:tcW w:w="6080" w:type="dxa"/>
            <w:tcBorders/>
            <w:shd w:fill="CCEEFF" w:val="clear"/>
            <w:vAlign w:val="center"/>
          </w:tcPr>
          <w:p>
            <w:pPr>
              <w:pStyle w:val="TableContents"/>
              <w:bidi w:val="0"/>
              <w:spacing w:before="0" w:after="283"/>
              <w:jc w:val="left"/>
              <w:rPr>
                <w:sz w:val="20"/>
              </w:rPr>
            </w:pPr>
            <w:r>
              <w:rPr>
                <w:sz w:val="20"/>
              </w:rPr>
              <w:t>Adjustments to profit or loss items: Depreciation and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406</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371</w:t>
            </w:r>
          </w:p>
        </w:tc>
        <w:tc>
          <w:tcPr>
            <w:tcW w:w="153" w:type="dxa"/>
            <w:tcBorders/>
            <w:shd w:fill="CCEEFF" w:val="clear"/>
            <w:vAlign w:val="center"/>
          </w:tcPr>
          <w:p>
            <w:pPr>
              <w:pStyle w:val="TableContents"/>
              <w:bidi w:val="0"/>
              <w:spacing w:before="0" w:after="283"/>
              <w:jc w:val="left"/>
              <w:rPr/>
            </w:pPr>
            <w:r>
              <w:rPr/>
              <w:t> </w:t>
            </w:r>
            <w:bookmarkStart w:id="120" w:name="xdx_406_ecustom--DepreciationOfLeasedSys"/>
            <w:bookmarkEnd w:id="120"/>
          </w:p>
        </w:tc>
      </w:tr>
      <w:tr>
        <w:trPr/>
        <w:tc>
          <w:tcPr>
            <w:tcW w:w="6080" w:type="dxa"/>
            <w:tcBorders/>
            <w:shd w:fill="FFFFFF" w:val="clear"/>
            <w:vAlign w:val="center"/>
          </w:tcPr>
          <w:p>
            <w:pPr>
              <w:pStyle w:val="TableContents"/>
              <w:bidi w:val="0"/>
              <w:spacing w:before="0" w:after="283"/>
              <w:jc w:val="left"/>
              <w:rPr>
                <w:sz w:val="20"/>
              </w:rPr>
            </w:pPr>
            <w:r>
              <w:rPr>
                <w:sz w:val="20"/>
              </w:rPr>
              <w:t>Depreciation of leased systems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501</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411</w:t>
            </w:r>
          </w:p>
        </w:tc>
        <w:tc>
          <w:tcPr>
            <w:tcW w:w="153" w:type="dxa"/>
            <w:tcBorders/>
            <w:shd w:fill="FFFFFF" w:val="clear"/>
            <w:vAlign w:val="center"/>
          </w:tcPr>
          <w:p>
            <w:pPr>
              <w:pStyle w:val="TableContents"/>
              <w:bidi w:val="0"/>
              <w:spacing w:before="0" w:after="283"/>
              <w:jc w:val="left"/>
              <w:rPr/>
            </w:pPr>
            <w:r>
              <w:rPr/>
              <w:t> </w:t>
            </w:r>
            <w:bookmarkStart w:id="121" w:name="xdx_40E_ecustom--ImpairmentAndDisposalOf"/>
            <w:bookmarkEnd w:id="121"/>
          </w:p>
        </w:tc>
      </w:tr>
      <w:tr>
        <w:trPr/>
        <w:tc>
          <w:tcPr>
            <w:tcW w:w="6080" w:type="dxa"/>
            <w:tcBorders/>
            <w:shd w:fill="CCEEFF" w:val="clear"/>
            <w:vAlign w:val="center"/>
          </w:tcPr>
          <w:p>
            <w:pPr>
              <w:pStyle w:val="TableContents"/>
              <w:bidi w:val="0"/>
              <w:spacing w:before="0" w:after="283"/>
              <w:jc w:val="left"/>
              <w:rPr>
                <w:sz w:val="20"/>
              </w:rPr>
            </w:pPr>
            <w:r>
              <w:rPr>
                <w:sz w:val="20"/>
              </w:rPr>
              <w:t>Impairment and disposal of inventory and system components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(197</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168</w:t>
            </w:r>
          </w:p>
        </w:tc>
        <w:tc>
          <w:tcPr>
            <w:tcW w:w="153" w:type="dxa"/>
            <w:tcBorders/>
            <w:shd w:fill="CCEEFF" w:val="clear"/>
            <w:vAlign w:val="center"/>
          </w:tcPr>
          <w:p>
            <w:pPr>
              <w:pStyle w:val="TableContents"/>
              <w:bidi w:val="0"/>
              <w:spacing w:before="0" w:after="283"/>
              <w:jc w:val="left"/>
              <w:rPr/>
            </w:pPr>
            <w:r>
              <w:rPr/>
              <w:t> </w:t>
            </w:r>
            <w:bookmarkStart w:id="122" w:name="xdx_401_ecustom--FinanceExpensesIncomeNe"/>
            <w:bookmarkEnd w:id="122"/>
          </w:p>
        </w:tc>
      </w:tr>
      <w:tr>
        <w:trPr/>
        <w:tc>
          <w:tcPr>
            <w:tcW w:w="6080" w:type="dxa"/>
            <w:tcBorders/>
            <w:shd w:fill="FFFFFF" w:val="clear"/>
            <w:vAlign w:val="center"/>
          </w:tcPr>
          <w:p>
            <w:pPr>
              <w:pStyle w:val="TableContents"/>
              <w:bidi w:val="0"/>
              <w:spacing w:before="0" w:after="283"/>
              <w:jc w:val="left"/>
              <w:rPr>
                <w:sz w:val="20"/>
              </w:rPr>
            </w:pPr>
            <w:r>
              <w:rPr>
                <w:sz w:val="20"/>
              </w:rPr>
              <w:t>Finance income,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(843</w:t>
            </w:r>
          </w:p>
        </w:tc>
        <w:tc>
          <w:tcPr>
            <w:tcW w:w="129" w:type="dxa"/>
            <w:tcBorders/>
            <w:shd w:fill="FFFFFF" w:val="cle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(2,207</w:t>
            </w:r>
          </w:p>
        </w:tc>
        <w:tc>
          <w:tcPr>
            <w:tcW w:w="153" w:type="dxa"/>
            <w:tcBorders/>
            <w:shd w:fill="FFFFFF" w:val="clear"/>
            <w:vAlign w:val="center"/>
          </w:tcPr>
          <w:p>
            <w:pPr>
              <w:pStyle w:val="TableContents"/>
              <w:bidi w:val="0"/>
              <w:spacing w:before="0" w:after="283"/>
              <w:jc w:val="left"/>
              <w:rPr>
                <w:sz w:val="20"/>
              </w:rPr>
            </w:pPr>
            <w:r>
              <w:rPr>
                <w:sz w:val="20"/>
              </w:rPr>
              <w:t>)</w:t>
            </w:r>
            <w:bookmarkStart w:id="123" w:name="xdx_40A_eifrs-full--AdjustmentsForShareb"/>
            <w:bookmarkEnd w:id="123"/>
          </w:p>
        </w:tc>
      </w:tr>
      <w:tr>
        <w:trPr/>
        <w:tc>
          <w:tcPr>
            <w:tcW w:w="6080" w:type="dxa"/>
            <w:tcBorders/>
            <w:shd w:fill="CCEEFF" w:val="clear"/>
            <w:vAlign w:val="center"/>
          </w:tcPr>
          <w:p>
            <w:pPr>
              <w:pStyle w:val="TableContents"/>
              <w:bidi w:val="0"/>
              <w:spacing w:before="0" w:after="283"/>
              <w:jc w:val="left"/>
              <w:rPr>
                <w:sz w:val="20"/>
              </w:rPr>
            </w:pPr>
            <w:r>
              <w:rPr>
                <w:sz w:val="20"/>
              </w:rPr>
              <w:t>Cost of share-based payment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1,008</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552</w:t>
            </w:r>
          </w:p>
        </w:tc>
        <w:tc>
          <w:tcPr>
            <w:tcW w:w="153" w:type="dxa"/>
            <w:tcBorders/>
            <w:shd w:fill="CCEEFF" w:val="clear"/>
            <w:vAlign w:val="center"/>
          </w:tcPr>
          <w:p>
            <w:pPr>
              <w:pStyle w:val="TableContents"/>
              <w:bidi w:val="0"/>
              <w:spacing w:before="0" w:after="283"/>
              <w:jc w:val="left"/>
              <w:rPr/>
            </w:pPr>
            <w:r>
              <w:rPr/>
              <w:t> </w:t>
            </w:r>
            <w:bookmarkStart w:id="124" w:name="xdx_401_eifrs-full--AdjustmentsForIncome"/>
            <w:bookmarkEnd w:id="124"/>
          </w:p>
        </w:tc>
      </w:tr>
      <w:tr>
        <w:trPr/>
        <w:tc>
          <w:tcPr>
            <w:tcW w:w="608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328</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227</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 w:name="xdx_409_eifrs-full--AdjustmentsForReconc"/>
            <w:bookmarkEnd w:id="125"/>
          </w:p>
        </w:tc>
      </w:tr>
      <w:tr>
        <w:trPr/>
        <w:tc>
          <w:tcPr>
            <w:tcW w:w="6080" w:type="dxa"/>
            <w:tcBorders/>
            <w:shd w:fill="CCEEFF" w:val="clear"/>
            <w:vAlign w:val="center"/>
          </w:tcPr>
          <w:p>
            <w:pPr>
              <w:pStyle w:val="TableContents"/>
              <w:bidi w:val="0"/>
              <w:spacing w:before="0" w:after="283"/>
              <w:jc w:val="left"/>
              <w:rPr>
                <w:sz w:val="20"/>
              </w:rPr>
            </w:pPr>
            <w:r>
              <w:rPr>
                <w:sz w:val="20"/>
              </w:rPr>
              <w:t>Total adjustments to reconcile profit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1,203</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(478</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6" w:name="xdx_402_ecustom--ChangesInAssetAndLiabil"/>
            <w:bookmarkEnd w:id="126"/>
          </w:p>
        </w:tc>
      </w:tr>
      <w:tr>
        <w:trPr/>
        <w:tc>
          <w:tcPr>
            <w:tcW w:w="6080" w:type="dxa"/>
            <w:tcBorders/>
            <w:shd w:fill="FFFFFF" w:val="clear"/>
            <w:vAlign w:val="center"/>
          </w:tcPr>
          <w:p>
            <w:pPr>
              <w:pStyle w:val="TableContents"/>
              <w:bidi w:val="0"/>
              <w:spacing w:before="0" w:after="283"/>
              <w:jc w:val="left"/>
              <w:rPr>
                <w:sz w:val="20"/>
              </w:rPr>
            </w:pPr>
            <w:r>
              <w:rPr>
                <w:sz w:val="20"/>
              </w:rPr>
              <w:t>Changes in asset and liability items: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27" w:name="xdx_405_eifrs-full--AdjustmentsForDecrea"/>
            <w:bookmarkEnd w:id="127"/>
          </w:p>
        </w:tc>
      </w:tr>
      <w:tr>
        <w:trPr/>
        <w:tc>
          <w:tcPr>
            <w:tcW w:w="6080" w:type="dxa"/>
            <w:tcBorders/>
            <w:shd w:fill="CCEEFF" w:val="clear"/>
            <w:vAlign w:val="center"/>
          </w:tcPr>
          <w:p>
            <w:pPr>
              <w:pStyle w:val="TableContents"/>
              <w:bidi w:val="0"/>
              <w:spacing w:before="0" w:after="283"/>
              <w:jc w:val="left"/>
              <w:rPr>
                <w:sz w:val="20"/>
              </w:rPr>
            </w:pPr>
            <w:r>
              <w:rPr>
                <w:sz w:val="20"/>
              </w:rPr>
              <w:t>Decrease (increase) in inventory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(237</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425</w:t>
            </w:r>
          </w:p>
        </w:tc>
        <w:tc>
          <w:tcPr>
            <w:tcW w:w="153" w:type="dxa"/>
            <w:tcBorders/>
            <w:shd w:fill="CCEEFF" w:val="clear"/>
            <w:vAlign w:val="center"/>
          </w:tcPr>
          <w:p>
            <w:pPr>
              <w:pStyle w:val="TableContents"/>
              <w:bidi w:val="0"/>
              <w:spacing w:before="0" w:after="283"/>
              <w:jc w:val="left"/>
              <w:rPr/>
            </w:pPr>
            <w:r>
              <w:rPr/>
              <w:t> </w:t>
            </w:r>
            <w:bookmarkStart w:id="128" w:name="xdx_40A_eifrs-full--AdjustmentsForDecrea"/>
            <w:bookmarkEnd w:id="128"/>
          </w:p>
        </w:tc>
      </w:tr>
      <w:tr>
        <w:trPr/>
        <w:tc>
          <w:tcPr>
            <w:tcW w:w="6080" w:type="dxa"/>
            <w:tcBorders/>
            <w:shd w:fill="FFFFFF" w:val="clear"/>
            <w:vAlign w:val="center"/>
          </w:tcPr>
          <w:p>
            <w:pPr>
              <w:pStyle w:val="TableContents"/>
              <w:bidi w:val="0"/>
              <w:spacing w:before="0" w:after="283"/>
              <w:jc w:val="left"/>
              <w:rPr>
                <w:sz w:val="20"/>
              </w:rPr>
            </w:pPr>
            <w:r>
              <w:rPr>
                <w:sz w:val="20"/>
              </w:rPr>
              <w:t>Decrease (increase) in trade receivables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(2,921</w:t>
            </w:r>
          </w:p>
        </w:tc>
        <w:tc>
          <w:tcPr>
            <w:tcW w:w="129" w:type="dxa"/>
            <w:tcBorders/>
            <w:shd w:fill="FFFFFF" w:val="cle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827</w:t>
            </w:r>
          </w:p>
        </w:tc>
        <w:tc>
          <w:tcPr>
            <w:tcW w:w="153" w:type="dxa"/>
            <w:tcBorders/>
            <w:shd w:fill="FFFFFF" w:val="clear"/>
            <w:vAlign w:val="center"/>
          </w:tcPr>
          <w:p>
            <w:pPr>
              <w:pStyle w:val="TableContents"/>
              <w:bidi w:val="0"/>
              <w:spacing w:before="0" w:after="283"/>
              <w:jc w:val="left"/>
              <w:rPr/>
            </w:pPr>
            <w:r>
              <w:rPr/>
              <w:t> </w:t>
            </w:r>
            <w:bookmarkStart w:id="129" w:name="xdx_406_eifrs-full--AdjustmentsForDecrea"/>
            <w:bookmarkEnd w:id="129"/>
          </w:p>
        </w:tc>
      </w:tr>
      <w:tr>
        <w:trPr/>
        <w:tc>
          <w:tcPr>
            <w:tcW w:w="6080" w:type="dxa"/>
            <w:tcBorders/>
            <w:shd w:fill="CCEEFF" w:val="clear"/>
            <w:vAlign w:val="center"/>
          </w:tcPr>
          <w:p>
            <w:pPr>
              <w:pStyle w:val="TableContents"/>
              <w:bidi w:val="0"/>
              <w:spacing w:before="0" w:after="283"/>
              <w:jc w:val="left"/>
              <w:rPr>
                <w:sz w:val="20"/>
              </w:rPr>
            </w:pPr>
            <w:r>
              <w:rPr>
                <w:sz w:val="20"/>
              </w:rPr>
              <w:t>Decrease in other current 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30</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264</w:t>
            </w:r>
          </w:p>
        </w:tc>
        <w:tc>
          <w:tcPr>
            <w:tcW w:w="153" w:type="dxa"/>
            <w:tcBorders/>
            <w:shd w:fill="CCEEFF" w:val="clear"/>
            <w:vAlign w:val="center"/>
          </w:tcPr>
          <w:p>
            <w:pPr>
              <w:pStyle w:val="TableContents"/>
              <w:bidi w:val="0"/>
              <w:spacing w:before="0" w:after="283"/>
              <w:jc w:val="left"/>
              <w:rPr/>
            </w:pPr>
            <w:r>
              <w:rPr/>
              <w:t> </w:t>
            </w:r>
            <w:bookmarkStart w:id="130" w:name="xdx_405_eifrs-full--AdjustmentsForDecrea"/>
            <w:bookmarkEnd w:id="130"/>
          </w:p>
        </w:tc>
      </w:tr>
      <w:tr>
        <w:trPr/>
        <w:tc>
          <w:tcPr>
            <w:tcW w:w="6080" w:type="dxa"/>
            <w:tcBorders/>
            <w:shd w:fill="FFFFFF" w:val="clear"/>
            <w:vAlign w:val="center"/>
          </w:tcPr>
          <w:p>
            <w:pPr>
              <w:pStyle w:val="TableContents"/>
              <w:bidi w:val="0"/>
              <w:spacing w:before="0" w:after="283"/>
              <w:jc w:val="left"/>
              <w:rPr>
                <w:sz w:val="20"/>
              </w:rPr>
            </w:pPr>
            <w:r>
              <w:rPr>
                <w:sz w:val="20"/>
              </w:rPr>
              <w:t>Decrease in other financial assets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729</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31" w:name="xdx_406_eifrs-full--AdjustmentsForIncrea"/>
            <w:bookmarkEnd w:id="131"/>
          </w:p>
        </w:tc>
      </w:tr>
      <w:tr>
        <w:trPr/>
        <w:tc>
          <w:tcPr>
            <w:tcW w:w="6080" w:type="dxa"/>
            <w:tcBorders/>
            <w:shd w:fill="CCEEFF" w:val="clear"/>
            <w:vAlign w:val="center"/>
          </w:tcPr>
          <w:p>
            <w:pPr>
              <w:pStyle w:val="TableContents"/>
              <w:bidi w:val="0"/>
              <w:spacing w:before="0" w:after="283"/>
              <w:jc w:val="left"/>
              <w:rPr>
                <w:sz w:val="20"/>
              </w:rPr>
            </w:pPr>
            <w:r>
              <w:rPr>
                <w:sz w:val="20"/>
              </w:rPr>
              <w:t>Increase (decrease) in trade payables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74</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(1,690</w:t>
            </w:r>
          </w:p>
        </w:tc>
        <w:tc>
          <w:tcPr>
            <w:tcW w:w="153" w:type="dxa"/>
            <w:tcBorders/>
            <w:shd w:fill="CCEEFF" w:val="clear"/>
            <w:vAlign w:val="center"/>
          </w:tcPr>
          <w:p>
            <w:pPr>
              <w:pStyle w:val="TableContents"/>
              <w:bidi w:val="0"/>
              <w:spacing w:before="0" w:after="283"/>
              <w:jc w:val="left"/>
              <w:rPr>
                <w:sz w:val="20"/>
              </w:rPr>
            </w:pPr>
            <w:r>
              <w:rPr>
                <w:sz w:val="20"/>
              </w:rPr>
              <w:t>)</w:t>
            </w:r>
            <w:bookmarkStart w:id="132" w:name="xdx_402_eifrs-full--AdjustmentsForIncrea"/>
            <w:bookmarkEnd w:id="132"/>
          </w:p>
        </w:tc>
      </w:tr>
      <w:tr>
        <w:trPr/>
        <w:tc>
          <w:tcPr>
            <w:tcW w:w="6080" w:type="dxa"/>
            <w:tcBorders/>
            <w:shd w:fill="FFFFFF" w:val="clear"/>
            <w:vAlign w:val="center"/>
          </w:tcPr>
          <w:p>
            <w:pPr>
              <w:pStyle w:val="TableContents"/>
              <w:bidi w:val="0"/>
              <w:spacing w:before="0" w:after="283"/>
              <w:jc w:val="left"/>
              <w:rPr>
                <w:sz w:val="20"/>
              </w:rPr>
            </w:pPr>
            <w:r>
              <w:rPr>
                <w:sz w:val="20"/>
              </w:rPr>
              <w:t>Increase (decrease) in other accounts payable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44</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(838</w:t>
            </w:r>
          </w:p>
        </w:tc>
        <w:tc>
          <w:tcPr>
            <w:tcW w:w="153" w:type="dxa"/>
            <w:tcBorders/>
            <w:shd w:fill="FFFFFF" w:val="clear"/>
            <w:vAlign w:val="center"/>
          </w:tcPr>
          <w:p>
            <w:pPr>
              <w:pStyle w:val="TableContents"/>
              <w:bidi w:val="0"/>
              <w:spacing w:before="0" w:after="283"/>
              <w:jc w:val="left"/>
              <w:rPr>
                <w:sz w:val="20"/>
              </w:rPr>
            </w:pPr>
            <w:r>
              <w:rPr>
                <w:sz w:val="20"/>
              </w:rPr>
              <w:t>)</w:t>
            </w:r>
            <w:bookmarkStart w:id="133" w:name="xdx_40E_ecustom--IncreaseInDeferredReven"/>
            <w:bookmarkEnd w:id="133"/>
          </w:p>
        </w:tc>
      </w:tr>
      <w:tr>
        <w:trPr/>
        <w:tc>
          <w:tcPr>
            <w:tcW w:w="6080" w:type="dxa"/>
            <w:tcBorders/>
            <w:shd w:fill="CCEEFF" w:val="clear"/>
            <w:vAlign w:val="center"/>
          </w:tcPr>
          <w:p>
            <w:pPr>
              <w:pStyle w:val="TableContents"/>
              <w:bidi w:val="0"/>
              <w:spacing w:before="0" w:after="283"/>
              <w:jc w:val="left"/>
              <w:rPr>
                <w:sz w:val="20"/>
              </w:rPr>
            </w:pPr>
            <w:r>
              <w:rPr>
                <w:sz w:val="20"/>
              </w:rPr>
              <w:t>Increase in deferred revenues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2,745</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14,691</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4" w:name="xdx_40E_ecustom--TotalChangesInAssetAndL"/>
            <w:bookmarkEnd w:id="134"/>
          </w:p>
        </w:tc>
      </w:tr>
      <w:tr>
        <w:trPr/>
        <w:tc>
          <w:tcPr>
            <w:tcW w:w="6080" w:type="dxa"/>
            <w:tcBorders/>
            <w:shd w:fill="FFFFFF" w:val="clear"/>
            <w:vAlign w:val="center"/>
          </w:tcPr>
          <w:p>
            <w:pPr>
              <w:pStyle w:val="TableContents"/>
              <w:bidi w:val="0"/>
              <w:spacing w:before="0" w:after="283"/>
              <w:jc w:val="left"/>
              <w:rPr>
                <w:sz w:val="20"/>
              </w:rPr>
            </w:pPr>
            <w:r>
              <w:rPr>
                <w:sz w:val="20"/>
              </w:rPr>
              <w:t>Total changes in asset and liability</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464</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13,679</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5" w:name="xdx_40F_ecustom--CashPaidAndReceivedDuri"/>
            <w:bookmarkEnd w:id="135"/>
          </w:p>
        </w:tc>
      </w:tr>
      <w:tr>
        <w:trPr/>
        <w:tc>
          <w:tcPr>
            <w:tcW w:w="6080" w:type="dxa"/>
            <w:tcBorders/>
            <w:shd w:fill="CCEEFF" w:val="clear"/>
            <w:vAlign w:val="center"/>
          </w:tcPr>
          <w:p>
            <w:pPr>
              <w:pStyle w:val="TableContents"/>
              <w:bidi w:val="0"/>
              <w:spacing w:before="0" w:after="283"/>
              <w:jc w:val="left"/>
              <w:rPr>
                <w:sz w:val="20"/>
              </w:rPr>
            </w:pPr>
            <w:r>
              <w:rPr>
                <w:sz w:val="20"/>
              </w:rPr>
              <w:t>Cash (paid) received during the period for: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bookmarkStart w:id="136" w:name="xdx_40C_eifrs-full--InterestPaidClassifi"/>
            <w:bookmarkEnd w:id="136"/>
          </w:p>
        </w:tc>
      </w:tr>
      <w:tr>
        <w:trPr/>
        <w:tc>
          <w:tcPr>
            <w:tcW w:w="6080" w:type="dxa"/>
            <w:tcBorders/>
            <w:shd w:fill="FFFFFF" w:val="clear"/>
            <w:vAlign w:val="center"/>
          </w:tcPr>
          <w:p>
            <w:pPr>
              <w:pStyle w:val="TableContents"/>
              <w:bidi w:val="0"/>
              <w:spacing w:before="0" w:after="283"/>
              <w:jc w:val="left"/>
              <w:rPr>
                <w:sz w:val="20"/>
              </w:rPr>
            </w:pPr>
            <w:r>
              <w:rPr>
                <w:sz w:val="20"/>
              </w:rPr>
              <w:t>Interest paid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(350</w:t>
            </w:r>
          </w:p>
        </w:tc>
        <w:tc>
          <w:tcPr>
            <w:tcW w:w="129" w:type="dxa"/>
            <w:tcBorders/>
            <w:shd w:fill="FFFFFF" w:val="cle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(54</w:t>
            </w:r>
          </w:p>
        </w:tc>
        <w:tc>
          <w:tcPr>
            <w:tcW w:w="153" w:type="dxa"/>
            <w:tcBorders/>
            <w:shd w:fill="FFFFFF" w:val="clear"/>
            <w:vAlign w:val="center"/>
          </w:tcPr>
          <w:p>
            <w:pPr>
              <w:pStyle w:val="TableContents"/>
              <w:bidi w:val="0"/>
              <w:spacing w:before="0" w:after="283"/>
              <w:jc w:val="left"/>
              <w:rPr>
                <w:sz w:val="20"/>
              </w:rPr>
            </w:pPr>
            <w:r>
              <w:rPr>
                <w:sz w:val="20"/>
              </w:rPr>
              <w:t>)</w:t>
            </w:r>
            <w:bookmarkStart w:id="137" w:name="xdx_40A_eifrs-full--InterestReceivedClas"/>
            <w:bookmarkEnd w:id="137"/>
          </w:p>
        </w:tc>
      </w:tr>
      <w:tr>
        <w:trPr/>
        <w:tc>
          <w:tcPr>
            <w:tcW w:w="6080" w:type="dxa"/>
            <w:tcBorders/>
            <w:shd w:fill="CCEEFF" w:val="clear"/>
            <w:vAlign w:val="center"/>
          </w:tcPr>
          <w:p>
            <w:pPr>
              <w:pStyle w:val="TableContents"/>
              <w:bidi w:val="0"/>
              <w:spacing w:before="0" w:after="283"/>
              <w:jc w:val="left"/>
              <w:rPr>
                <w:sz w:val="20"/>
              </w:rPr>
            </w:pPr>
            <w:r>
              <w:rPr>
                <w:sz w:val="20"/>
              </w:rPr>
              <w:t>Interest received</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1,285</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1,748</w:t>
            </w:r>
          </w:p>
        </w:tc>
        <w:tc>
          <w:tcPr>
            <w:tcW w:w="153" w:type="dxa"/>
            <w:tcBorders/>
            <w:shd w:fill="CCEEFF" w:val="clear"/>
            <w:vAlign w:val="center"/>
          </w:tcPr>
          <w:p>
            <w:pPr>
              <w:pStyle w:val="TableContents"/>
              <w:bidi w:val="0"/>
              <w:spacing w:before="0" w:after="283"/>
              <w:jc w:val="left"/>
              <w:rPr/>
            </w:pPr>
            <w:r>
              <w:rPr/>
              <w:t> </w:t>
            </w:r>
            <w:bookmarkStart w:id="138" w:name="xdx_409_eifrs-full--IncomeTaxesPaidRefun"/>
            <w:bookmarkEnd w:id="138"/>
          </w:p>
        </w:tc>
      </w:tr>
      <w:tr>
        <w:trPr/>
        <w:tc>
          <w:tcPr>
            <w:tcW w:w="6080" w:type="dxa"/>
            <w:tcBorders/>
            <w:shd w:fill="FFFFFF" w:val="clear"/>
            <w:vAlign w:val="center"/>
          </w:tcPr>
          <w:p>
            <w:pPr>
              <w:pStyle w:val="TableContents"/>
              <w:bidi w:val="0"/>
              <w:spacing w:before="0" w:after="283"/>
              <w:jc w:val="left"/>
              <w:rPr>
                <w:sz w:val="20"/>
              </w:rPr>
            </w:pPr>
            <w:r>
              <w:rPr>
                <w:sz w:val="20"/>
              </w:rPr>
              <w:t>Income taxes paid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(127</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(636</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39" w:name="xdx_406_ecustom--TotalCashPaidAndReceive"/>
            <w:bookmarkEnd w:id="139"/>
          </w:p>
        </w:tc>
      </w:tr>
      <w:tr>
        <w:trPr/>
        <w:tc>
          <w:tcPr>
            <w:tcW w:w="6080" w:type="dxa"/>
            <w:tcBorders/>
            <w:shd w:fill="CCEEFF" w:val="clear"/>
            <w:vAlign w:val="center"/>
          </w:tcPr>
          <w:p>
            <w:pPr>
              <w:pStyle w:val="TableContents"/>
              <w:bidi w:val="0"/>
              <w:spacing w:before="0" w:after="283"/>
              <w:jc w:val="left"/>
              <w:rPr>
                <w:sz w:val="20"/>
              </w:rPr>
            </w:pPr>
            <w:r>
              <w:rPr>
                <w:sz w:val="20"/>
              </w:rPr>
              <w:t>Total cash received during the period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808</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1,058</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0" w:name="xdx_408_eifrs-full--CashFlowsFromUsedInO"/>
            <w:bookmarkEnd w:id="140"/>
          </w:p>
        </w:tc>
      </w:tr>
      <w:tr>
        <w:trPr/>
        <w:tc>
          <w:tcPr>
            <w:tcW w:w="6080" w:type="dxa"/>
            <w:tcBorders/>
            <w:shd w:fill="FFFF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7,475</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17,393</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1" w:name="xdx_40A_eifrs-full--CashFlowsFromUsedInI"/>
            <w:bookmarkEnd w:id="141"/>
          </w:p>
        </w:tc>
      </w:tr>
      <w:tr>
        <w:trPr/>
        <w:tc>
          <w:tcPr>
            <w:tcW w:w="6080" w:type="dxa"/>
            <w:tcBorders/>
            <w:shd w:fill="CCEEFF" w:val="clear"/>
            <w:vAlign w:val="center"/>
          </w:tcPr>
          <w:p>
            <w:pPr>
              <w:pStyle w:val="TableContents"/>
              <w:bidi w:val="0"/>
              <w:spacing w:before="0" w:after="283"/>
              <w:jc w:val="left"/>
              <w:rPr>
                <w:i/>
                <w:sz w:val="20"/>
              </w:rPr>
            </w:pPr>
            <w:r>
              <w:rPr>
                <w:i/>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bookmarkStart w:id="142" w:name="xdx_405_ecustom--PurchaseOfPropertyAndEq"/>
            <w:bookmarkEnd w:id="142"/>
          </w:p>
        </w:tc>
      </w:tr>
      <w:tr>
        <w:trPr/>
        <w:tc>
          <w:tcPr>
            <w:tcW w:w="6080" w:type="dxa"/>
            <w:tcBorders/>
            <w:shd w:fill="FFFFFF" w:val="clear"/>
            <w:vAlign w:val="center"/>
          </w:tcPr>
          <w:p>
            <w:pPr>
              <w:pStyle w:val="TableContents"/>
              <w:bidi w:val="0"/>
              <w:spacing w:before="0" w:after="283"/>
              <w:jc w:val="left"/>
              <w:rPr>
                <w:sz w:val="20"/>
              </w:rPr>
            </w:pPr>
            <w:r>
              <w:rPr>
                <w:sz w:val="20"/>
              </w:rPr>
              <w:t>Purchase of property and equipment and system components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(1,653</w:t>
            </w:r>
          </w:p>
        </w:tc>
        <w:tc>
          <w:tcPr>
            <w:tcW w:w="129" w:type="dxa"/>
            <w:tcBorders/>
            <w:shd w:fill="FFFFFF" w:val="cle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(2,209</w:t>
            </w:r>
          </w:p>
        </w:tc>
        <w:tc>
          <w:tcPr>
            <w:tcW w:w="153" w:type="dxa"/>
            <w:tcBorders/>
            <w:shd w:fill="FFFFFF" w:val="clear"/>
            <w:vAlign w:val="center"/>
          </w:tcPr>
          <w:p>
            <w:pPr>
              <w:pStyle w:val="TableContents"/>
              <w:bidi w:val="0"/>
              <w:spacing w:before="0" w:after="283"/>
              <w:jc w:val="left"/>
              <w:rPr>
                <w:sz w:val="20"/>
              </w:rPr>
            </w:pPr>
            <w:r>
              <w:rPr>
                <w:sz w:val="20"/>
              </w:rPr>
              <w:t>)</w:t>
            </w:r>
            <w:bookmarkStart w:id="143" w:name="xdx_402_ecustom--PurchaseOfFinancialAsse"/>
            <w:bookmarkEnd w:id="143"/>
          </w:p>
        </w:tc>
      </w:tr>
      <w:tr>
        <w:trPr/>
        <w:tc>
          <w:tcPr>
            <w:tcW w:w="6080" w:type="dxa"/>
            <w:tcBorders/>
            <w:shd w:fill="CCEEFF" w:val="clear"/>
            <w:vAlign w:val="center"/>
          </w:tcPr>
          <w:p>
            <w:pPr>
              <w:pStyle w:val="TableContents"/>
              <w:bidi w:val="0"/>
              <w:spacing w:before="0" w:after="283"/>
              <w:jc w:val="left"/>
              <w:rPr>
                <w:sz w:val="20"/>
              </w:rPr>
            </w:pPr>
            <w:r>
              <w:rPr>
                <w:sz w:val="20"/>
              </w:rPr>
              <w:t>Purchase of financial assets measured at fair value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(10,125</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(5,000</w:t>
            </w:r>
          </w:p>
        </w:tc>
        <w:tc>
          <w:tcPr>
            <w:tcW w:w="153" w:type="dxa"/>
            <w:tcBorders/>
            <w:shd w:fill="CCEEFF" w:val="clear"/>
            <w:vAlign w:val="center"/>
          </w:tcPr>
          <w:p>
            <w:pPr>
              <w:pStyle w:val="TableContents"/>
              <w:bidi w:val="0"/>
              <w:spacing w:before="0" w:after="283"/>
              <w:jc w:val="left"/>
              <w:rPr>
                <w:sz w:val="20"/>
              </w:rPr>
            </w:pPr>
            <w:r>
              <w:rPr>
                <w:sz w:val="20"/>
              </w:rPr>
              <w:t>)</w:t>
            </w:r>
            <w:bookmarkStart w:id="144" w:name="xdx_40F_ecustom--ProceedsFromShorttermBa"/>
            <w:bookmarkEnd w:id="144"/>
          </w:p>
        </w:tc>
      </w:tr>
      <w:tr>
        <w:trPr/>
        <w:tc>
          <w:tcPr>
            <w:tcW w:w="6080" w:type="dxa"/>
            <w:tcBorders/>
            <w:shd w:fill="FFFFFF" w:val="clear"/>
            <w:vAlign w:val="center"/>
          </w:tcPr>
          <w:p>
            <w:pPr>
              <w:pStyle w:val="TableContents"/>
              <w:bidi w:val="0"/>
              <w:spacing w:before="0" w:after="283"/>
              <w:jc w:val="left"/>
              <w:rPr>
                <w:sz w:val="20"/>
              </w:rPr>
            </w:pPr>
            <w:r>
              <w:rPr>
                <w:sz w:val="20"/>
              </w:rPr>
              <w:t>Investment in short-term bank deposits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(10,000</w:t>
            </w:r>
          </w:p>
        </w:tc>
        <w:tc>
          <w:tcPr>
            <w:tcW w:w="153" w:type="dxa"/>
            <w:tcBorders/>
            <w:shd w:fill="FFFFFF" w:val="clear"/>
            <w:vAlign w:val="center"/>
          </w:tcPr>
          <w:p>
            <w:pPr>
              <w:pStyle w:val="TableContents"/>
              <w:bidi w:val="0"/>
              <w:spacing w:before="0" w:after="283"/>
              <w:jc w:val="left"/>
              <w:rPr>
                <w:sz w:val="20"/>
              </w:rPr>
            </w:pPr>
            <w:r>
              <w:rPr>
                <w:sz w:val="20"/>
              </w:rPr>
              <w:t>)</w:t>
            </w:r>
            <w:bookmarkStart w:id="145" w:name="xdx_406_ecustom--InvestmentInShorttermBa"/>
            <w:bookmarkEnd w:id="145"/>
          </w:p>
        </w:tc>
      </w:tr>
      <w:tr>
        <w:trPr/>
        <w:tc>
          <w:tcPr>
            <w:tcW w:w="6080" w:type="dxa"/>
            <w:tcBorders/>
            <w:shd w:fill="CCEEFF" w:val="clear"/>
            <w:vAlign w:val="center"/>
          </w:tcPr>
          <w:p>
            <w:pPr>
              <w:pStyle w:val="TableContents"/>
              <w:bidi w:val="0"/>
              <w:spacing w:before="0" w:after="283"/>
              <w:jc w:val="left"/>
              <w:rPr>
                <w:sz w:val="20"/>
              </w:rPr>
            </w:pPr>
            <w:r>
              <w:rPr>
                <w:sz w:val="20"/>
              </w:rPr>
              <w:t>Investment in short-term deposits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(17</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bookmarkStart w:id="146" w:name="xdx_40E_ecustom--InvestmentInLongtermDep"/>
            <w:bookmarkEnd w:id="146"/>
          </w:p>
        </w:tc>
      </w:tr>
      <w:tr>
        <w:trPr/>
        <w:tc>
          <w:tcPr>
            <w:tcW w:w="6080" w:type="dxa"/>
            <w:tcBorders/>
            <w:shd w:fill="FFFFFF" w:val="clear"/>
            <w:vAlign w:val="center"/>
          </w:tcPr>
          <w:p>
            <w:pPr>
              <w:pStyle w:val="TableContents"/>
              <w:bidi w:val="0"/>
              <w:spacing w:before="0" w:after="283"/>
              <w:jc w:val="left"/>
              <w:rPr>
                <w:sz w:val="20"/>
              </w:rPr>
            </w:pPr>
            <w:r>
              <w:rPr>
                <w:sz w:val="20"/>
              </w:rPr>
              <w:t>Withdrawal of short-term deposits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sz w:val="20"/>
              </w:rPr>
            </w:pPr>
            <w:r>
              <w:rPr>
                <w:sz w:val="20"/>
              </w:rPr>
              <w:t>7</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47" w:name="xdx_40D_ecustom--WithdrawalOfRestrictedC"/>
            <w:bookmarkEnd w:id="147"/>
          </w:p>
        </w:tc>
      </w:tr>
      <w:tr>
        <w:trPr/>
        <w:tc>
          <w:tcPr>
            <w:tcW w:w="6080" w:type="dxa"/>
            <w:tcBorders/>
            <w:shd w:fill="CCEEFF" w:val="clear"/>
            <w:vAlign w:val="center"/>
          </w:tcPr>
          <w:p>
            <w:pPr>
              <w:pStyle w:val="TableContents"/>
              <w:bidi w:val="0"/>
              <w:spacing w:before="0" w:after="283"/>
              <w:jc w:val="left"/>
              <w:rPr>
                <w:sz w:val="20"/>
              </w:rPr>
            </w:pPr>
            <w:r>
              <w:rPr>
                <w:sz w:val="20"/>
              </w:rPr>
              <w:t>Withdrawal of restricted cash</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20</w:t>
            </w:r>
          </w:p>
        </w:tc>
        <w:tc>
          <w:tcPr>
            <w:tcW w:w="153" w:type="dxa"/>
            <w:tcBorders/>
            <w:shd w:fill="CCEEFF" w:val="clear"/>
            <w:vAlign w:val="center"/>
          </w:tcPr>
          <w:p>
            <w:pPr>
              <w:pStyle w:val="TableContents"/>
              <w:bidi w:val="0"/>
              <w:spacing w:before="0" w:after="283"/>
              <w:jc w:val="left"/>
              <w:rPr/>
            </w:pPr>
            <w:r>
              <w:rPr/>
              <w:t> </w:t>
            </w:r>
            <w:bookmarkStart w:id="148" w:name="xdx_405_ecustom--InvestmentInCommissionA"/>
            <w:bookmarkEnd w:id="148"/>
          </w:p>
        </w:tc>
      </w:tr>
      <w:tr>
        <w:trPr/>
        <w:tc>
          <w:tcPr>
            <w:tcW w:w="6080" w:type="dxa"/>
            <w:tcBorders/>
            <w:shd w:fill="FFFFFF" w:val="clear"/>
            <w:vAlign w:val="center"/>
          </w:tcPr>
          <w:p>
            <w:pPr>
              <w:pStyle w:val="TableContents"/>
              <w:bidi w:val="0"/>
              <w:spacing w:before="0" w:after="283"/>
              <w:jc w:val="left"/>
              <w:rPr>
                <w:sz w:val="20"/>
              </w:rPr>
            </w:pPr>
            <w:r>
              <w:rPr>
                <w:sz w:val="20"/>
              </w:rPr>
              <w:t>Investment in Commission asset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(636</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49" w:name="xdx_40F_eifrs-full--CashFlowsFromUsedInI"/>
            <w:bookmarkEnd w:id="149"/>
          </w:p>
        </w:tc>
      </w:tr>
      <w:tr>
        <w:trPr/>
        <w:tc>
          <w:tcPr>
            <w:tcW w:w="6080" w:type="dxa"/>
            <w:tcBorders/>
            <w:shd w:fill="CCEEFF" w:val="clear"/>
            <w:vAlign w:val="center"/>
          </w:tcPr>
          <w:p>
            <w:pPr>
              <w:pStyle w:val="TableContents"/>
              <w:bidi w:val="0"/>
              <w:spacing w:before="0" w:after="283"/>
              <w:jc w:val="left"/>
              <w:rPr>
                <w:sz w:val="20"/>
              </w:rPr>
            </w:pPr>
            <w:r>
              <w:rPr>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(11,971</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(17,825</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50" w:name="xdx_40B_eifrs-full--CashFlowsFromUsedInF"/>
            <w:bookmarkEnd w:id="150"/>
          </w:p>
        </w:tc>
      </w:tr>
      <w:tr>
        <w:trPr/>
        <w:tc>
          <w:tcPr>
            <w:tcW w:w="6080" w:type="dxa"/>
            <w:tcBorders/>
            <w:shd w:fill="FFFFFF" w:val="clear"/>
            <w:vAlign w:val="center"/>
          </w:tcPr>
          <w:p>
            <w:pPr>
              <w:pStyle w:val="TableContents"/>
              <w:bidi w:val="0"/>
              <w:spacing w:before="0" w:after="283"/>
              <w:jc w:val="left"/>
              <w:rPr>
                <w:i/>
                <w:sz w:val="20"/>
              </w:rPr>
            </w:pPr>
            <w:r>
              <w:rPr>
                <w:i/>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51" w:name="xdx_404_ecustom--RepaymentOfLiabilityInR"/>
            <w:bookmarkEnd w:id="151"/>
          </w:p>
        </w:tc>
      </w:tr>
      <w:tr>
        <w:trPr/>
        <w:tc>
          <w:tcPr>
            <w:tcW w:w="6080" w:type="dxa"/>
            <w:tcBorders/>
            <w:shd w:fill="CCEEFF" w:val="clear"/>
            <w:vAlign w:val="center"/>
          </w:tcPr>
          <w:p>
            <w:pPr>
              <w:pStyle w:val="TableContents"/>
              <w:bidi w:val="0"/>
              <w:spacing w:before="0" w:after="283"/>
              <w:jc w:val="left"/>
              <w:rPr>
                <w:sz w:val="20"/>
              </w:rPr>
            </w:pPr>
            <w:r>
              <w:rPr>
                <w:sz w:val="20"/>
              </w:rPr>
              <w:t>Repayment of liability in respect of research and development grants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(730</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(641</w:t>
            </w:r>
          </w:p>
        </w:tc>
        <w:tc>
          <w:tcPr>
            <w:tcW w:w="153" w:type="dxa"/>
            <w:tcBorders/>
            <w:shd w:fill="CCEEFF" w:val="clear"/>
            <w:vAlign w:val="center"/>
          </w:tcPr>
          <w:p>
            <w:pPr>
              <w:pStyle w:val="TableContents"/>
              <w:bidi w:val="0"/>
              <w:spacing w:before="0" w:after="283"/>
              <w:jc w:val="left"/>
              <w:rPr>
                <w:sz w:val="20"/>
              </w:rPr>
            </w:pPr>
            <w:r>
              <w:rPr>
                <w:sz w:val="20"/>
              </w:rPr>
              <w:t>)</w:t>
            </w:r>
            <w:bookmarkStart w:id="152" w:name="xdx_402_ecustom--RepaymentOfLeaseLiabili"/>
            <w:bookmarkEnd w:id="152"/>
          </w:p>
        </w:tc>
      </w:tr>
      <w:tr>
        <w:trPr/>
        <w:tc>
          <w:tcPr>
            <w:tcW w:w="6080" w:type="dxa"/>
            <w:tcBorders/>
            <w:shd w:fill="FFFFFF" w:val="clear"/>
            <w:vAlign w:val="center"/>
          </w:tcPr>
          <w:p>
            <w:pPr>
              <w:pStyle w:val="TableContents"/>
              <w:bidi w:val="0"/>
              <w:spacing w:before="0" w:after="283"/>
              <w:jc w:val="left"/>
              <w:rPr>
                <w:sz w:val="20"/>
              </w:rPr>
            </w:pPr>
            <w:r>
              <w:rPr>
                <w:sz w:val="20"/>
              </w:rPr>
              <w:t>Repayment of lease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(326</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(378</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53" w:name="xdx_40B_eifrs-full--CashFlowsFromUsedInF"/>
            <w:bookmarkEnd w:id="153"/>
          </w:p>
        </w:tc>
      </w:tr>
      <w:tr>
        <w:trPr/>
        <w:tc>
          <w:tcPr>
            <w:tcW w:w="6080" w:type="dxa"/>
            <w:tcBorders/>
            <w:shd w:fill="CCEEFF" w:val="clear"/>
            <w:vAlign w:val="center"/>
          </w:tcPr>
          <w:p>
            <w:pPr>
              <w:pStyle w:val="TableContents"/>
              <w:bidi w:val="0"/>
              <w:spacing w:before="0" w:after="283"/>
              <w:jc w:val="left"/>
              <w:rPr>
                <w:sz w:val="20"/>
              </w:rPr>
            </w:pPr>
            <w:r>
              <w:rPr>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(1,056</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(1,019</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54" w:name="xdx_406_eifrs-full--EffectOfExchangeRate"/>
            <w:bookmarkEnd w:id="154"/>
          </w:p>
        </w:tc>
      </w:tr>
      <w:tr>
        <w:trPr/>
        <w:tc>
          <w:tcPr>
            <w:tcW w:w="6080" w:type="dxa"/>
            <w:tcBorders/>
            <w:shd w:fill="FFFFFF" w:val="clear"/>
            <w:vAlign w:val="center"/>
          </w:tcPr>
          <w:p>
            <w:pPr>
              <w:pStyle w:val="TableContents"/>
              <w:bidi w:val="0"/>
              <w:spacing w:before="0" w:after="283"/>
              <w:jc w:val="left"/>
              <w:rPr>
                <w:sz w:val="20"/>
              </w:rPr>
            </w:pPr>
            <w:r>
              <w:rPr>
                <w:sz w:val="20"/>
              </w:rPr>
              <w:t>Exchange rate differences on balance of cash and cash equivalents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 w:name="xdx_40B_eifrs-full--IncreaseDecreaseInCa"/>
            <w:bookmarkEnd w:id="155"/>
          </w:p>
        </w:tc>
      </w:tr>
      <w:tr>
        <w:trPr/>
        <w:tc>
          <w:tcPr>
            <w:tcW w:w="6080" w:type="dxa"/>
            <w:tcBorders/>
            <w:shd w:fill="CCEEFF" w:val="clear"/>
            <w:vAlign w:val="center"/>
          </w:tcPr>
          <w:p>
            <w:pPr>
              <w:pStyle w:val="TableContents"/>
              <w:bidi w:val="0"/>
              <w:spacing w:before="0" w:after="283"/>
              <w:jc w:val="left"/>
              <w:rPr>
                <w:sz w:val="20"/>
              </w:rPr>
            </w:pPr>
            <w:r>
              <w:rPr>
                <w:sz w:val="20"/>
              </w:rPr>
              <w:t>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(5,592</w:t>
            </w:r>
          </w:p>
        </w:tc>
        <w:tc>
          <w:tcPr>
            <w:tcW w:w="129" w:type="dxa"/>
            <w:tcBorders/>
            <w:shd w:fill="CCEEFF" w:val="clear"/>
            <w:vAlign w:val="center"/>
          </w:tcPr>
          <w:p>
            <w:pPr>
              <w:pStyle w:val="TableContents"/>
              <w:bidi w:val="0"/>
              <w:spacing w:before="0" w:after="283"/>
              <w:jc w:val="lef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sz w:val="20"/>
              </w:rPr>
            </w:pPr>
            <w:r>
              <w:rPr>
                <w:sz w:val="20"/>
              </w:rPr>
              <w:t>(1,433</w:t>
            </w:r>
          </w:p>
        </w:tc>
        <w:tc>
          <w:tcPr>
            <w:tcW w:w="153" w:type="dxa"/>
            <w:tcBorders/>
            <w:shd w:fill="CCEEFF" w:val="clear"/>
            <w:vAlign w:val="center"/>
          </w:tcPr>
          <w:p>
            <w:pPr>
              <w:pStyle w:val="TableContents"/>
              <w:bidi w:val="0"/>
              <w:spacing w:before="0" w:after="283"/>
              <w:jc w:val="left"/>
              <w:rPr>
                <w:sz w:val="20"/>
              </w:rPr>
            </w:pPr>
            <w:r>
              <w:rPr>
                <w:sz w:val="20"/>
              </w:rPr>
              <w:t>)</w:t>
            </w:r>
            <w:bookmarkStart w:id="156" w:name="xdx_409_eifrs-full--CashAndCashEquivalen"/>
            <w:bookmarkEnd w:id="156"/>
          </w:p>
        </w:tc>
      </w:tr>
      <w:tr>
        <w:trPr/>
        <w:tc>
          <w:tcPr>
            <w:tcW w:w="6080" w:type="dxa"/>
            <w:tcBorders/>
            <w:shd w:fill="FFFFFF" w:val="clear"/>
            <w:vAlign w:val="center"/>
          </w:tcPr>
          <w:p>
            <w:pPr>
              <w:pStyle w:val="TableContents"/>
              <w:bidi w:val="0"/>
              <w:spacing w:before="0" w:after="283"/>
              <w:jc w:val="left"/>
              <w:rPr>
                <w:sz w:val="20"/>
              </w:rPr>
            </w:pPr>
            <w:r>
              <w:rPr>
                <w:sz w:val="20"/>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67,700</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69,345</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7" w:name="xdx_404_eifrs-full--CashAndCashEquivalen"/>
            <w:bookmarkEnd w:id="157"/>
          </w:p>
        </w:tc>
      </w:tr>
      <w:tr>
        <w:trPr/>
        <w:tc>
          <w:tcPr>
            <w:tcW w:w="6080" w:type="dxa"/>
            <w:tcBorders/>
            <w:shd w:fill="CCEEFF" w:val="clear"/>
            <w:vAlign w:val="center"/>
          </w:tcPr>
          <w:p>
            <w:pPr>
              <w:pStyle w:val="TableContents"/>
              <w:bidi w:val="0"/>
              <w:spacing w:before="0" w:after="283"/>
              <w:jc w:val="left"/>
              <w:rPr>
                <w:sz w:val="20"/>
              </w:rPr>
            </w:pPr>
            <w:r>
              <w:rPr>
                <w:sz w:val="20"/>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62,108</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67,912</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8" w:name="xdx_402_ecustom--SignificantNoncashTrans"/>
            <w:bookmarkEnd w:id="158"/>
          </w:p>
        </w:tc>
      </w:tr>
      <w:tr>
        <w:trPr/>
        <w:tc>
          <w:tcPr>
            <w:tcW w:w="6080" w:type="dxa"/>
            <w:tcBorders/>
            <w:shd w:fill="FFFFFF" w:val="clear"/>
            <w:vAlign w:val="center"/>
          </w:tcPr>
          <w:p>
            <w:pPr>
              <w:pStyle w:val="TableContents"/>
              <w:bidi w:val="0"/>
              <w:spacing w:before="0" w:after="283"/>
              <w:jc w:val="left"/>
              <w:rPr>
                <w:sz w:val="20"/>
              </w:rPr>
            </w:pPr>
            <w:r>
              <w:rPr>
                <w:sz w:val="20"/>
              </w:rPr>
              <w:t>(a) Significant non-cash transactions: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bookmarkStart w:id="159" w:name="xdx_40A_ecustom--RightofuseAssetRecogniz"/>
            <w:bookmarkEnd w:id="159"/>
          </w:p>
        </w:tc>
      </w:tr>
      <w:tr>
        <w:trPr/>
        <w:tc>
          <w:tcPr>
            <w:tcW w:w="6080" w:type="dxa"/>
            <w:tcBorders/>
            <w:shd w:fill="CCEEFF" w:val="clear"/>
            <w:vAlign w:val="center"/>
          </w:tcPr>
          <w:p>
            <w:pPr>
              <w:pStyle w:val="TableContents"/>
              <w:bidi w:val="0"/>
              <w:spacing w:before="0" w:after="283"/>
              <w:jc w:val="left"/>
              <w:rPr>
                <w:sz w:val="20"/>
              </w:rPr>
            </w:pPr>
            <w:r>
              <w:rPr>
                <w:sz w:val="20"/>
              </w:rPr>
              <w:t>Right-of-use assets recognized with corresponding lease liability</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177</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197</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403_ecustom--ChangeInPrepaidExpenses"/>
            <w:bookmarkEnd w:id="160"/>
          </w:p>
        </w:tc>
      </w:tr>
      <w:tr>
        <w:trPr/>
        <w:tc>
          <w:tcPr>
            <w:tcW w:w="6080" w:type="dxa"/>
            <w:tcBorders/>
            <w:shd w:fill="FFFFFF" w:val="clear"/>
            <w:vAlign w:val="center"/>
          </w:tcPr>
          <w:p>
            <w:pPr>
              <w:pStyle w:val="TableContents"/>
              <w:bidi w:val="0"/>
              <w:spacing w:before="0" w:after="283"/>
              <w:jc w:val="left"/>
              <w:rPr>
                <w:sz w:val="20"/>
              </w:rPr>
            </w:pPr>
            <w:r>
              <w:rPr>
                <w:sz w:val="20"/>
              </w:rPr>
              <w:t>Change in prepaid expenses recognized with corresponding liability</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1,487</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34" w:after="34"/>
        <w:ind w:left="34" w:right="34" w:hanging="0"/>
        <w:jc w:val="left"/>
        <w:rPr/>
      </w:pPr>
      <w:r>
        <w:rPr/>
        <w:t> </w:t>
      </w:r>
    </w:p>
    <w:p>
      <w:pPr>
        <w:pStyle w:val="TextBody"/>
        <w:bidi w:val="0"/>
        <w:ind w:left="907" w:right="899" w:hanging="0"/>
        <w:jc w:val="center"/>
        <w:rPr>
          <w:sz w:val="20"/>
        </w:rPr>
      </w:pPr>
      <w:r>
        <w:rPr>
          <w:sz w:val="20"/>
        </w:rPr>
        <w:t>The accompanying Notes are an integral part of these condensed consolidated unaudited interim Financial Statements.</w:t>
      </w:r>
    </w:p>
    <w:p>
      <w:pPr>
        <w:pStyle w:val="TextBody"/>
        <w:bidi w:val="0"/>
        <w:spacing w:before="98" w:after="98"/>
        <w:ind w:left="98" w:right="98"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67" w:after="67"/>
        <w:ind w:left="907" w:right="899" w:hanging="0"/>
        <w:jc w:val="center"/>
        <w:rPr>
          <w:b/>
          <w:sz w:val="20"/>
        </w:rPr>
      </w:pPr>
      <w:bookmarkStart w:id="161" w:name="notes"/>
      <w:bookmarkEnd w:id="161"/>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r>
        <w:rPr>
          <w:b/>
          <w:sz w:val="20"/>
        </w:rPr>
        <w:t>U.S. dollars in thousands (except share and per share data)</w:t>
      </w:r>
    </w:p>
    <w:p>
      <w:pPr>
        <w:pStyle w:val="TextBody"/>
        <w:bidi w:val="0"/>
        <w:spacing w:before="1" w:after="1"/>
        <w:ind w:left="499" w:right="1" w:hanging="0"/>
        <w:jc w:val="left"/>
        <w:rPr>
          <w:b/>
          <w:sz w:val="20"/>
        </w:rPr>
      </w:pPr>
      <w:bookmarkStart w:id="162" w:name="xdx_80B_ecustom--GeneralTextBlock_zozpPt"/>
      <w:bookmarkEnd w:id="162"/>
      <w:r>
        <w:rPr>
          <w:b/>
          <w:sz w:val="20"/>
        </w:rPr>
        <w:t xml:space="preserve">NOTE 1: </w:t>
      </w:r>
      <w:bookmarkStart w:id="163" w:name="xdx_827_zC9T4PHEQ7z2"/>
      <w:bookmarkEnd w:id="163"/>
      <w:r>
        <w:rPr>
          <w:b/>
          <w:sz w:val="20"/>
        </w:rPr>
        <w:t>GENERAL</w:t>
      </w:r>
    </w:p>
    <w:p>
      <w:pPr>
        <w:pStyle w:val="TextBody"/>
        <w:bidi w:val="0"/>
        <w:spacing w:before="24" w:after="24"/>
        <w:ind w:left="24" w:right="24" w:hanging="0"/>
        <w:jc w:val="left"/>
        <w:rPr/>
      </w:pPr>
      <w:r>
        <w:rPr/>
        <w:t> </w:t>
      </w:r>
    </w:p>
    <w:tbl>
      <w:tblPr>
        <w:tblW w:w="5358" w:type="dxa"/>
        <w:jc w:val="left"/>
        <w:tblInd w:w="0" w:type="dxa"/>
        <w:tblLayout w:type="fixed"/>
        <w:tblCellMar>
          <w:top w:w="0" w:type="dxa"/>
          <w:left w:w="0" w:type="dxa"/>
          <w:bottom w:w="0" w:type="dxa"/>
          <w:right w:w="0" w:type="dxa"/>
        </w:tblCellMar>
      </w:tblPr>
      <w:tblGrid>
        <w:gridCol w:w="38"/>
        <w:gridCol w:w="185"/>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135" w:type="dxa"/>
            <w:tcBorders/>
            <w:vAlign w:val="center"/>
          </w:tcPr>
          <w:p>
            <w:pPr>
              <w:pStyle w:val="TableContents"/>
              <w:bidi w:val="0"/>
              <w:spacing w:before="0" w:after="283"/>
              <w:jc w:val="left"/>
              <w:rPr/>
            </w:pPr>
            <w:r>
              <w:rPr/>
              <w:t>A general description of the Company and its activity:</w:t>
            </w:r>
          </w:p>
        </w:tc>
      </w:tr>
    </w:tbl>
    <w:p>
      <w:pPr>
        <w:pStyle w:val="TextBody"/>
        <w:bidi w:val="0"/>
        <w:spacing w:before="24" w:after="24"/>
        <w:ind w:left="24" w:right="24" w:hanging="0"/>
        <w:jc w:val="left"/>
        <w:rPr/>
      </w:pPr>
      <w:r>
        <w:rPr/>
        <w:t> </w:t>
      </w:r>
    </w:p>
    <w:p>
      <w:pPr>
        <w:pStyle w:val="TextBody"/>
        <w:bidi w:val="0"/>
        <w:spacing w:before="1" w:after="1"/>
        <w:ind w:left="851" w:right="283" w:hanging="0"/>
        <w:jc w:val="both"/>
        <w:rPr>
          <w:sz w:val="20"/>
        </w:rPr>
      </w:pPr>
      <w:r>
        <w:rPr>
          <w:sz w:val="20"/>
        </w:rPr>
        <w:t>BrainsWay Ltd. (the “Company”) is a leader in advanced non-invasive neurostimulation treatments for mental health disorders. The Company is advancing neuroscience with its proprietary Deep Transcranial Magnetic Stimulation (Deep TMS™) platform technology to improve health and transform lives. The Company has obtained from the U.S. Food and Drug Administration (FDA) three cleared indications backed by pivotal studies demonstrating clinically proven efficacy. Current indications include MDD (Major Depressive Disorder), obsessive-compulsive disorder (OCD), and smoking addiction.</w:t>
      </w:r>
    </w:p>
    <w:p>
      <w:pPr>
        <w:pStyle w:val="TextBody"/>
        <w:bidi w:val="0"/>
        <w:spacing w:before="9" w:after="9"/>
        <w:ind w:left="9" w:right="9" w:hanging="0"/>
        <w:jc w:val="left"/>
        <w:rPr/>
      </w:pPr>
      <w:r>
        <w:rPr/>
        <w:t> </w:t>
      </w:r>
    </w:p>
    <w:p>
      <w:pPr>
        <w:pStyle w:val="TextBody"/>
        <w:bidi w:val="0"/>
        <w:ind w:left="851" w:right="283" w:hanging="0"/>
        <w:jc w:val="both"/>
        <w:rPr>
          <w:sz w:val="20"/>
        </w:rPr>
      </w:pPr>
      <w:r>
        <w:rPr>
          <w:sz w:val="20"/>
        </w:rPr>
        <w:t>The Company received its first commercial Deep TMS product clearance from the FDA in 2013, for the treatment of MDD in adult patients who have failed to achieve satisfactory improvement from anti-depressant medication. In April 2021, the Company received FDA clearance for a shorter innovative MDD treatment and in August 2021, the Company received an additional clearance from the FDA for expansion of the existing MDD clearance to include the non-invasive treatment of anxiety symptoms. In 2022, the Company extended its FDA clearance for MDD (including anxious depression) to the Company’s H7 Coil, also via the 510(k) process. In May 2024, the FDA cleared an expansion of the Company’s MDD clearance allowing for the treatment of patients with late life depression. The expanded clearance covers MDD patients ages 22 to 86, changing the previous upper age limit of 68. In November 2025 the FDA cleared an expanded labeling of the Company’s system to treat adolescent (ages 15-21) MDD indications as an adjunct therapy. Also in 2025, the Company obtained an expansion of its clearance to cover an accelerated treatment protocol for MDD. The Company’s Deep TMS system for MDD is currently marketed to and installed at psychiatrists’ offices and other facilities principally in the United States and in certain other countries throughout the world.</w:t>
      </w:r>
    </w:p>
    <w:p>
      <w:pPr>
        <w:pStyle w:val="TextBody"/>
        <w:bidi w:val="0"/>
        <w:spacing w:before="20" w:after="20"/>
        <w:ind w:left="20" w:right="20" w:hanging="0"/>
        <w:jc w:val="left"/>
        <w:rPr/>
      </w:pPr>
      <w:r>
        <w:rPr/>
        <w:t> </w:t>
      </w:r>
    </w:p>
    <w:p>
      <w:pPr>
        <w:pStyle w:val="TextBody"/>
        <w:bidi w:val="0"/>
        <w:ind w:left="851" w:right="282" w:hanging="0"/>
        <w:jc w:val="both"/>
        <w:rPr>
          <w:sz w:val="20"/>
        </w:rPr>
      </w:pPr>
      <w:r>
        <w:rPr>
          <w:sz w:val="20"/>
        </w:rPr>
        <w:t xml:space="preserve">The Company received </w:t>
      </w:r>
      <w:r>
        <w:rPr>
          <w:i/>
          <w:sz w:val="20"/>
        </w:rPr>
        <w:t xml:space="preserve">de novo </w:t>
      </w:r>
      <w:r>
        <w:rPr>
          <w:sz w:val="20"/>
        </w:rPr>
        <w:t>clearance from the FDA in August 2018 for use of its Deep TMS as an adjunct therapy for adult patients suffering from OCD, and a clearance from the FDA in August 2020 for use of its Deep TMS system as an aid in short-term smoking cessation in adults.</w:t>
      </w:r>
    </w:p>
    <w:p>
      <w:pPr>
        <w:pStyle w:val="TextBody"/>
        <w:bidi w:val="0"/>
        <w:spacing w:before="8" w:after="8"/>
        <w:ind w:left="8" w:right="8" w:hanging="0"/>
        <w:jc w:val="left"/>
        <w:rPr/>
      </w:pPr>
      <w:r>
        <w:rPr/>
        <w:t> </w:t>
      </w:r>
    </w:p>
    <w:p>
      <w:pPr>
        <w:pStyle w:val="TextBody"/>
        <w:bidi w:val="0"/>
        <w:spacing w:before="13" w:after="13"/>
        <w:ind w:left="851" w:right="13" w:hanging="0"/>
        <w:jc w:val="left"/>
        <w:rPr>
          <w:sz w:val="20"/>
        </w:rPr>
      </w:pPr>
      <w:r>
        <w:rPr>
          <w:sz w:val="20"/>
        </w:rPr>
        <w:t>The Company conducts activities through various wholly owned subsidiaries, including BrainsWay, Inc. (“Inc”), Brain R&amp;D Services Ltd. (“Brain R&amp;D”), BrainsWay USA Inc (“USA Inc”) and Tikva LLC (“Tikva”), (collectively the “Group”). Brain R&amp;D and USA Inc. derive revenues from the sale and lease of Deep TMS systems and from related services. Tikva, a wholly owned subsidiary of Inc. formed in Delaware in 2025, makes and holds strategic investments, including in mental health services companies located in the United States and Canada.</w:t>
      </w:r>
    </w:p>
    <w:p>
      <w:pPr>
        <w:pStyle w:val="TextBody"/>
        <w:bidi w:val="0"/>
        <w:spacing w:before="13" w:after="13"/>
        <w:ind w:left="851" w:right="13"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The Company has a net profit of $</w:t>
            </w:r>
            <w:bookmarkStart w:id="164" w:name="xdx_90F_ecustom--ProfitLossFromOperating"/>
            <w:bookmarkEnd w:id="164"/>
            <w:r>
              <w:rPr/>
              <w:t>5,000 for the six months ended June 30, 2026. The Company’s management and board of directors believe that the Company has sufficient funding to finance its business activity according to its plans in the foreseeable future.</w:t>
            </w:r>
          </w:p>
        </w:tc>
      </w:tr>
    </w:tbl>
    <w:p>
      <w:pPr>
        <w:pStyle w:val="TextBody"/>
        <w:bidi w:val="0"/>
        <w:spacing w:before="1" w:after="1"/>
        <w:ind w:left="283" w:right="283"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These unaudited consolidated interim financial statements have been prepared in a condensed format as of June 30, 2026, and for the periods of six months then ended (the “interim consolidated financial statements”). The interim consolidated financial statements should be read in conjunction with the Company's audited annual consolidated financial statements as of December 31, 2025, and for the year then ended and accompanying notes (“annual consolidated financial statements”).</w:t>
            </w:r>
          </w:p>
        </w:tc>
      </w:tr>
    </w:tbl>
    <w:p>
      <w:pPr>
        <w:pStyle w:val="TextBody"/>
        <w:bidi w:val="0"/>
        <w:spacing w:before="8" w:after="8"/>
        <w:ind w:left="8" w:right="8" w:hanging="0"/>
        <w:jc w:val="left"/>
        <w:rPr/>
      </w:pPr>
      <w:r>
        <w:rPr/>
        <w:t> </w:t>
      </w:r>
    </w:p>
    <w:tbl>
      <w:tblPr>
        <w:tblW w:w="3543" w:type="dxa"/>
        <w:jc w:val="left"/>
        <w:tblInd w:w="0" w:type="dxa"/>
        <w:tblLayout w:type="fixed"/>
        <w:tblCellMar>
          <w:top w:w="0" w:type="dxa"/>
          <w:left w:w="0" w:type="dxa"/>
          <w:bottom w:w="0" w:type="dxa"/>
          <w:right w:w="0" w:type="dxa"/>
        </w:tblCellMar>
      </w:tblPr>
      <w:tblGrid>
        <w:gridCol w:w="38"/>
        <w:gridCol w:w="20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3305" w:type="dxa"/>
            <w:tcBorders/>
            <w:vAlign w:val="center"/>
          </w:tcPr>
          <w:p>
            <w:pPr>
              <w:pStyle w:val="TableContents"/>
              <w:bidi w:val="0"/>
              <w:spacing w:before="0" w:after="283"/>
              <w:jc w:val="left"/>
              <w:rPr/>
            </w:pPr>
            <w:r>
              <w:rPr/>
              <w:t>U.S. President Trump’s tariff plan:</w:t>
            </w:r>
          </w:p>
        </w:tc>
      </w:tr>
    </w:tbl>
    <w:p>
      <w:pPr>
        <w:pStyle w:val="TextBody"/>
        <w:bidi w:val="0"/>
        <w:spacing w:before="13" w:after="13"/>
        <w:ind w:left="13" w:right="13" w:hanging="0"/>
        <w:jc w:val="left"/>
        <w:rPr/>
      </w:pPr>
      <w:r>
        <w:rPr/>
        <w:t> </w:t>
      </w:r>
    </w:p>
    <w:p>
      <w:pPr>
        <w:pStyle w:val="TextBody"/>
        <w:bidi w:val="0"/>
        <w:spacing w:before="1" w:after="1"/>
        <w:ind w:left="852" w:right="283" w:hanging="0"/>
        <w:jc w:val="both"/>
        <w:rPr>
          <w:sz w:val="20"/>
        </w:rPr>
      </w:pPr>
      <w:r>
        <w:rPr>
          <w:sz w:val="20"/>
        </w:rPr>
        <w:t>In April 2025, the Trump Administration announced a government plan which imposes reciprocal tariffs on the import of goods from numerous countries into the U.S. The overall tariff on the import of goods from Israel to the U.S. is 15%, effective August 2025. The tariff applies solely to the import of goods and not to the import of services. While the Company does not believe that its first half 2026 financial results were materially affected by these developments, economic uncertainty may have an impact on the Company’s market and sales in the USA. If substantial tariffs remain in place, the Company may experience a reduction in US sales and in US revenues. Although the impact of the tariffs is difficult to predict with any certainty, the Company is actively evaluating its options and potential steps that may mitigate the impact of such trade-related circumstances and the impact of trade policy changes on future results remains uncertain.</w:t>
      </w:r>
    </w:p>
    <w:p>
      <w:pPr>
        <w:pStyle w:val="TextBody"/>
        <w:bidi w:val="0"/>
        <w:spacing w:before="1" w:after="1"/>
        <w:ind w:left="852" w:right="283" w:hanging="0"/>
        <w:jc w:val="both"/>
        <w:rPr/>
      </w:pPr>
      <w:r>
        <w:rPr/>
        <w:t> </w:t>
      </w:r>
    </w:p>
    <w:tbl>
      <w:tblPr>
        <w:tblW w:w="2913" w:type="dxa"/>
        <w:jc w:val="left"/>
        <w:tblInd w:w="0" w:type="dxa"/>
        <w:tblLayout w:type="fixed"/>
        <w:tblCellMar>
          <w:top w:w="0" w:type="dxa"/>
          <w:left w:w="0" w:type="dxa"/>
          <w:bottom w:w="0" w:type="dxa"/>
          <w:right w:w="0" w:type="dxa"/>
        </w:tblCellMar>
      </w:tblPr>
      <w:tblGrid>
        <w:gridCol w:w="38"/>
        <w:gridCol w:w="18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2690" w:type="dxa"/>
            <w:tcBorders/>
            <w:vAlign w:val="center"/>
          </w:tcPr>
          <w:p>
            <w:pPr>
              <w:pStyle w:val="TableContents"/>
              <w:bidi w:val="0"/>
              <w:spacing w:before="0" w:after="283"/>
              <w:jc w:val="left"/>
              <w:rPr/>
            </w:pPr>
            <w:r>
              <w:rPr/>
              <w:t>Effects of the war with Iran:</w:t>
            </w:r>
          </w:p>
        </w:tc>
      </w:tr>
    </w:tbl>
    <w:p>
      <w:pPr>
        <w:pStyle w:val="TextBody"/>
        <w:bidi w:val="0"/>
        <w:spacing w:before="1" w:after="1"/>
        <w:ind w:left="851" w:right="283" w:hanging="0"/>
        <w:jc w:val="both"/>
        <w:rPr/>
      </w:pPr>
      <w:r>
        <w:rPr/>
        <w:t> </w:t>
      </w:r>
    </w:p>
    <w:p>
      <w:pPr>
        <w:pStyle w:val="TextBody"/>
        <w:bidi w:val="0"/>
        <w:ind w:left="851" w:right="0" w:hanging="0"/>
        <w:jc w:val="both"/>
        <w:rPr>
          <w:sz w:val="20"/>
        </w:rPr>
      </w:pPr>
      <w:r>
        <w:rPr>
          <w:sz w:val="20"/>
        </w:rPr>
        <w:t>On February 28, 2026, Israel and the United States launched a joint military operation against strategic targets of the Iranian regime with the objective of eradicating Iran's nuclear and ballistic missile capabilities. The military operation escalated into a war in the entire region, followed by renewed armed conflict between Israel and Hizballah in Israel's northern border. During April 2026, a temporary ceasefire was agreed between Iran and Israel and the United States and thereafter (on April 17, 2026) a 10-day ceasefire between Israel and Lebanon, since then fighting has continued in southern Lebanon and Iran, involving the United States and several countries in the region. The war caused major fluctuations in energy and oil prices and in foreign exchange rates. The fluctuations in energy and oil prices and in foreign exchange rates as well as the shortage of raw materials and personnel and the inaccessibility of local services and resources are all likely to affect numerous enterprises.</w:t>
      </w:r>
    </w:p>
    <w:p>
      <w:pPr>
        <w:pStyle w:val="TextBody"/>
        <w:bidi w:val="0"/>
        <w:spacing w:before="10" w:after="10"/>
        <w:ind w:left="10" w:right="10" w:hanging="0"/>
        <w:jc w:val="left"/>
        <w:rPr/>
      </w:pPr>
      <w:r>
        <w:rPr/>
        <w:t> </w:t>
      </w:r>
    </w:p>
    <w:p>
      <w:pPr>
        <w:pStyle w:val="TextBody"/>
        <w:bidi w:val="0"/>
        <w:ind w:left="499" w:right="0" w:hanging="0"/>
        <w:jc w:val="left"/>
        <w:rPr>
          <w:b/>
          <w:sz w:val="20"/>
        </w:rPr>
      </w:pPr>
      <w:bookmarkStart w:id="165" w:name="xdx_80D_eifrs-full--DisclosureOfChangesI"/>
      <w:bookmarkEnd w:id="165"/>
      <w:r>
        <w:rPr>
          <w:b/>
          <w:sz w:val="20"/>
        </w:rPr>
        <w:t xml:space="preserve">NOTE 2: </w:t>
      </w:r>
      <w:bookmarkStart w:id="166" w:name="xdx_82C_zwlDmwSVlWs4"/>
      <w:bookmarkEnd w:id="166"/>
      <w:r>
        <w:rPr>
          <w:b/>
          <w:sz w:val="20"/>
        </w:rPr>
        <w:t>ACCOUNTING POLICIES</w:t>
      </w:r>
    </w:p>
    <w:p>
      <w:pPr>
        <w:pStyle w:val="TextBody"/>
        <w:bidi w:val="0"/>
        <w:spacing w:before="24" w:after="24"/>
        <w:ind w:left="24" w:right="24" w:hanging="0"/>
        <w:jc w:val="left"/>
        <w:rPr/>
      </w:pPr>
      <w:r>
        <w:rPr/>
        <w:t> </w:t>
      </w:r>
    </w:p>
    <w:p>
      <w:pPr>
        <w:pStyle w:val="TextBody"/>
        <w:bidi w:val="0"/>
        <w:spacing w:before="1" w:after="1"/>
        <w:ind w:left="851" w:right="1" w:hanging="0"/>
        <w:jc w:val="both"/>
        <w:rPr>
          <w:sz w:val="20"/>
        </w:rPr>
      </w:pPr>
      <w:r>
        <w:rPr>
          <w:sz w:val="20"/>
        </w:rPr>
        <w:t>Basis of presentation of the financial statements:</w:t>
      </w:r>
    </w:p>
    <w:p>
      <w:pPr>
        <w:pStyle w:val="TextBody"/>
        <w:bidi w:val="0"/>
        <w:spacing w:before="24" w:after="24"/>
        <w:ind w:left="24" w:right="24" w:hanging="0"/>
        <w:jc w:val="left"/>
        <w:rPr/>
      </w:pPr>
      <w:r>
        <w:rPr/>
        <w:t> </w:t>
      </w:r>
    </w:p>
    <w:p>
      <w:pPr>
        <w:pStyle w:val="TextBody"/>
        <w:bidi w:val="0"/>
        <w:ind w:left="851" w:right="283" w:hanging="0"/>
        <w:jc w:val="both"/>
        <w:rPr>
          <w:sz w:val="20"/>
        </w:rPr>
      </w:pPr>
      <w:r>
        <w:rPr>
          <w:sz w:val="20"/>
        </w:rPr>
        <w:t>These unaudited condensed consolidated interim financial statements (hereafter – the “consolidated interim Financial Statements”) have been prepared in accordance with IAS 34, “Interim Financial Reporting”. They do not include all of the information required for annual Financial Statements and should be read in conjunction with the consolidated Financial Statements of the Company as at and for the year ended December 31, 2025 and the accompanying notes (hereafter – the “annual consolidated financial statements”). These condensed consolidated unaudited interim Financial Statements were approved by the Board of Directors on September 28, 2026.</w:t>
      </w:r>
    </w:p>
    <w:p>
      <w:pPr>
        <w:pStyle w:val="TextBody"/>
        <w:bidi w:val="0"/>
        <w:spacing w:before="9" w:after="9"/>
        <w:ind w:left="9" w:right="9" w:hanging="0"/>
        <w:jc w:val="left"/>
        <w:rPr/>
      </w:pPr>
      <w:r>
        <w:rPr/>
        <w:t> </w:t>
      </w:r>
    </w:p>
    <w:p>
      <w:pPr>
        <w:pStyle w:val="TextBody"/>
        <w:bidi w:val="0"/>
        <w:ind w:left="851" w:right="283" w:hanging="0"/>
        <w:jc w:val="both"/>
        <w:rPr>
          <w:sz w:val="20"/>
        </w:rPr>
      </w:pPr>
      <w:r>
        <w:rPr>
          <w:sz w:val="20"/>
        </w:rPr>
        <w:t>The accounting policies applied in the preparation of these condensed consolidated unaudited interim Financial Statements are consistent with those followed in the preparation of the annual consolidated financial statements.</w:t>
      </w:r>
    </w:p>
    <w:p>
      <w:pPr>
        <w:pStyle w:val="TextBody"/>
        <w:bidi w:val="0"/>
        <w:ind w:left="851" w:right="283" w:hanging="0"/>
        <w:jc w:val="both"/>
        <w:rPr/>
      </w:pPr>
      <w:r>
        <w:rPr/>
        <w:t> </w:t>
      </w:r>
    </w:p>
    <w:p>
      <w:pPr>
        <w:pStyle w:val="TextBody"/>
        <w:bidi w:val="0"/>
        <w:ind w:left="499" w:right="0" w:hanging="0"/>
        <w:jc w:val="left"/>
        <w:rPr>
          <w:b/>
          <w:sz w:val="20"/>
        </w:rPr>
      </w:pPr>
      <w:bookmarkStart w:id="167" w:name="xdx_805_ecustom--DisclosureOfInventoryEx"/>
      <w:bookmarkEnd w:id="167"/>
      <w:r>
        <w:rPr>
          <w:b/>
          <w:sz w:val="20"/>
        </w:rPr>
        <w:t xml:space="preserve">NOTE 3: </w:t>
      </w:r>
      <w:bookmarkStart w:id="168" w:name="xdx_822_z6GbKhPCPp06"/>
      <w:bookmarkEnd w:id="168"/>
      <w:r>
        <w:rPr>
          <w:b/>
          <w:sz w:val="20"/>
        </w:rPr>
        <w:t>INVENTORY</w:t>
      </w:r>
    </w:p>
    <w:p>
      <w:pPr>
        <w:pStyle w:val="TextBody"/>
        <w:bidi w:val="0"/>
        <w:spacing w:before="19" w:after="0"/>
        <w:ind w:left="851" w:right="0" w:hanging="0"/>
        <w:jc w:val="left"/>
        <w:rPr>
          <w:sz w:val="20"/>
        </w:rPr>
      </w:pPr>
      <w:r>
        <w:rPr>
          <w:sz w:val="20"/>
        </w:rPr>
        <w:t>Provision for impairment of inventory and system components decreased during the first half of 2026, compared with an increase during the corresponding period in 2025, primarily due to the Company’s ongoing process of identifying and disposing of obsolete inventory and the related inventory disposals carried out during the period.</w:t>
      </w:r>
    </w:p>
    <w:p>
      <w:pPr>
        <w:pStyle w:val="TextBody"/>
        <w:bidi w:val="0"/>
        <w:spacing w:before="19" w:after="19"/>
        <w:ind w:left="19" w:right="19"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9" w:after="19"/>
        <w:ind w:left="19" w:right="19" w:hanging="0"/>
        <w:jc w:val="left"/>
        <w:rPr/>
      </w:pPr>
      <w:bookmarkStart w:id="169" w:name="xdx_23B_zSpnO79amCN4"/>
      <w:bookmarkEnd w:id="169"/>
      <w:r>
        <w:rPr/>
        <w:t> </w:t>
      </w:r>
    </w:p>
    <w:p>
      <w:pPr>
        <w:pStyle w:val="TextBody"/>
        <w:bidi w:val="0"/>
        <w:ind w:left="500" w:right="0" w:hanging="0"/>
        <w:jc w:val="left"/>
        <w:rPr>
          <w:b/>
          <w:sz w:val="20"/>
        </w:rPr>
      </w:pPr>
      <w:bookmarkStart w:id="170" w:name="xdx_802_ecustom--DisclosureOfSystemCompo"/>
      <w:bookmarkStart w:id="171" w:name="xdx_234_zMWHNBe5UOX8"/>
      <w:bookmarkEnd w:id="170"/>
      <w:bookmarkEnd w:id="171"/>
      <w:r>
        <w:rPr>
          <w:b/>
          <w:sz w:val="20"/>
        </w:rPr>
        <w:t xml:space="preserve">NOTE 4: </w:t>
      </w:r>
      <w:bookmarkStart w:id="172" w:name="xdx_829_zylNxpWDTDac"/>
      <w:bookmarkEnd w:id="172"/>
      <w:r>
        <w:rPr>
          <w:b/>
          <w:sz w:val="20"/>
        </w:rPr>
        <w:t>SYSTEM COMPONENTS AND LEASED SYSTEMS, NET</w:t>
      </w:r>
    </w:p>
    <w:p>
      <w:pPr>
        <w:pStyle w:val="TextBody"/>
        <w:bidi w:val="0"/>
        <w:spacing w:before="0" w:after="0"/>
        <w:ind w:left="0" w:right="0" w:hanging="0"/>
        <w:jc w:val="left"/>
        <w:rPr/>
      </w:pPr>
      <w:r>
        <w:rPr/>
        <w:t> </w:t>
      </w:r>
    </w:p>
    <w:p>
      <w:pPr>
        <w:pStyle w:val="TextBody"/>
        <w:bidi w:val="0"/>
        <w:spacing w:before="0" w:after="0"/>
        <w:ind w:left="850" w:right="0" w:hanging="0"/>
        <w:jc w:val="left"/>
        <w:rPr>
          <w:sz w:val="20"/>
        </w:rPr>
      </w:pPr>
      <w:r>
        <w:rPr>
          <w:sz w:val="20"/>
        </w:rPr>
        <w:t>During the six-month periods ended June 30, 2026 and 2025, the Company acquired system components, net, totaling $</w:t>
      </w:r>
      <w:bookmarkStart w:id="173" w:name="xdx_908_eifrs-full--FairValueOfAcquiredR"/>
      <w:bookmarkEnd w:id="173"/>
      <w:r>
        <w:rPr>
          <w:sz w:val="20"/>
        </w:rPr>
        <w:t>1,528 and $</w:t>
      </w:r>
      <w:bookmarkStart w:id="174" w:name="xdx_903_eifrs-full--FairValueOfAcquiredR"/>
      <w:bookmarkEnd w:id="174"/>
      <w:r>
        <w:rPr>
          <w:sz w:val="20"/>
        </w:rPr>
        <w:t>2,100, respectively, and transferred system components to leased systems in the carrying amounts of $</w:t>
      </w:r>
      <w:bookmarkStart w:id="175" w:name="xdx_903_eifrs-full--IncomeFromSubleasing"/>
      <w:bookmarkEnd w:id="175"/>
      <w:r>
        <w:rPr>
          <w:sz w:val="20"/>
        </w:rPr>
        <w:t>1,039 and $</w:t>
      </w:r>
      <w:bookmarkStart w:id="176" w:name="xdx_90C_eifrs-full--IncomeFromSubleasing"/>
      <w:bookmarkEnd w:id="176"/>
      <w:r>
        <w:rPr>
          <w:sz w:val="20"/>
        </w:rPr>
        <w:t>1,166, respectively.</w:t>
      </w:r>
    </w:p>
    <w:p>
      <w:pPr>
        <w:pStyle w:val="TextBody"/>
        <w:bidi w:val="0"/>
        <w:spacing w:before="92" w:after="92"/>
        <w:ind w:left="850" w:right="92" w:hanging="0"/>
        <w:jc w:val="left"/>
        <w:rPr/>
      </w:pPr>
      <w:bookmarkStart w:id="177" w:name="xdx_23B_zA4bBcnsJyW7"/>
      <w:bookmarkEnd w:id="177"/>
      <w:r>
        <w:rPr/>
        <w:t> </w:t>
      </w:r>
    </w:p>
    <w:p>
      <w:pPr>
        <w:pStyle w:val="TextBody"/>
        <w:bidi w:val="0"/>
        <w:spacing w:before="92" w:after="92"/>
        <w:ind w:left="850" w:right="92" w:hanging="0"/>
        <w:jc w:val="left"/>
        <w:rPr/>
      </w:pPr>
      <w:bookmarkStart w:id="178" w:name="xdx_231_z0k8L83uaJ7l"/>
      <w:bookmarkEnd w:id="178"/>
      <w:r>
        <w:rPr/>
        <w:t> </w:t>
      </w:r>
    </w:p>
    <w:p>
      <w:pPr>
        <w:pStyle w:val="TextBody"/>
        <w:bidi w:val="0"/>
        <w:spacing w:before="92" w:after="92"/>
        <w:ind w:left="850" w:right="92" w:hanging="0"/>
        <w:jc w:val="left"/>
        <w:rPr/>
      </w:pPr>
      <w:bookmarkStart w:id="179" w:name="xdx_231_zXmS3sGdeNQf"/>
      <w:bookmarkEnd w:id="179"/>
      <w:r>
        <w:rPr/>
        <w:t> </w:t>
      </w:r>
    </w:p>
    <w:p>
      <w:pPr>
        <w:pStyle w:val="TextBody"/>
        <w:bidi w:val="0"/>
        <w:spacing w:before="92" w:after="92"/>
        <w:ind w:left="850" w:right="92" w:hanging="0"/>
        <w:jc w:val="left"/>
        <w:rPr/>
      </w:pPr>
      <w:bookmarkStart w:id="180" w:name="xdx_237_zZsn0PiXk31h"/>
      <w:bookmarkEnd w:id="180"/>
      <w:r>
        <w:rPr/>
        <w:t> </w:t>
      </w:r>
    </w:p>
    <w:p>
      <w:pPr>
        <w:pStyle w:val="TextBody"/>
        <w:bidi w:val="0"/>
        <w:spacing w:before="92" w:after="92"/>
        <w:ind w:left="850" w:right="92" w:hanging="0"/>
        <w:jc w:val="left"/>
        <w:rPr/>
      </w:pPr>
      <w:bookmarkStart w:id="181" w:name="xdx_233_zmOTjlRzhtz7"/>
      <w:bookmarkEnd w:id="181"/>
      <w:r>
        <w:rPr/>
        <w:t> </w:t>
      </w:r>
    </w:p>
    <w:p>
      <w:pPr>
        <w:pStyle w:val="TextBody"/>
        <w:bidi w:val="0"/>
        <w:spacing w:before="92" w:after="92"/>
        <w:ind w:left="850" w:right="92" w:hanging="0"/>
        <w:jc w:val="left"/>
        <w:rPr/>
      </w:pPr>
      <w:bookmarkStart w:id="182" w:name="xdx_23F_zJGSjuaLOtVe"/>
      <w:bookmarkEnd w:id="182"/>
      <w:r>
        <w:rPr/>
        <w:t> </w:t>
      </w:r>
    </w:p>
    <w:p>
      <w:pPr>
        <w:pStyle w:val="TextBody"/>
        <w:bidi w:val="0"/>
        <w:spacing w:before="92" w:after="92"/>
        <w:ind w:left="850" w:right="92" w:hanging="0"/>
        <w:jc w:val="left"/>
        <w:rPr/>
      </w:pPr>
      <w:bookmarkStart w:id="183" w:name="xdx_232_zLAZfCjvq8g8"/>
      <w:bookmarkEnd w:id="183"/>
      <w:r>
        <w:rPr/>
        <w:t> </w:t>
      </w:r>
    </w:p>
    <w:p>
      <w:pPr>
        <w:pStyle w:val="TextBody"/>
        <w:bidi w:val="0"/>
        <w:spacing w:before="92" w:after="92"/>
        <w:ind w:left="850" w:right="92" w:hanging="0"/>
        <w:jc w:val="left"/>
        <w:rPr/>
      </w:pPr>
      <w:bookmarkStart w:id="184" w:name="xdx_237_znyXHzENWcEd"/>
      <w:bookmarkEnd w:id="184"/>
      <w:r>
        <w:rPr/>
        <w:t> </w:t>
      </w:r>
    </w:p>
    <w:p>
      <w:pPr>
        <w:pStyle w:val="TextBody"/>
        <w:bidi w:val="0"/>
        <w:spacing w:before="92" w:after="92"/>
        <w:ind w:left="850" w:right="92" w:hanging="0"/>
        <w:jc w:val="left"/>
        <w:rPr/>
      </w:pPr>
      <w:bookmarkStart w:id="185" w:name="xdx_236_zfBFS563gxoc"/>
      <w:bookmarkEnd w:id="185"/>
      <w:r>
        <w:rPr/>
        <w:t> </w:t>
      </w:r>
    </w:p>
    <w:p>
      <w:pPr>
        <w:pStyle w:val="TextBody"/>
        <w:bidi w:val="0"/>
        <w:spacing w:before="92" w:after="92"/>
        <w:ind w:left="850" w:right="92" w:hanging="0"/>
        <w:jc w:val="left"/>
        <w:rPr/>
      </w:pPr>
      <w:bookmarkStart w:id="186" w:name="xdx_231_zhOoPAOElau9"/>
      <w:bookmarkEnd w:id="186"/>
      <w:r>
        <w:rPr/>
        <w:t> </w:t>
      </w:r>
    </w:p>
    <w:p>
      <w:pPr>
        <w:pStyle w:val="TextBody"/>
        <w:bidi w:val="0"/>
        <w:spacing w:before="92" w:after="92"/>
        <w:ind w:left="850" w:right="92" w:hanging="0"/>
        <w:jc w:val="left"/>
        <w:rPr/>
      </w:pPr>
      <w:bookmarkStart w:id="187" w:name="xdx_234_z3zSybB3Gws1"/>
      <w:bookmarkEnd w:id="187"/>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bookmarkStart w:id="188" w:name="xdx_231_zQTBPI9cAUQh"/>
      <w:bookmarkEnd w:id="188"/>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bookmarkStart w:id="189" w:name="xdx_23E_ze1l0MhPxiq3"/>
      <w:bookmarkEnd w:id="189"/>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499" w:right="0" w:hanging="0"/>
        <w:jc w:val="left"/>
        <w:rPr>
          <w:b/>
          <w:sz w:val="20"/>
        </w:rPr>
      </w:pPr>
      <w:bookmarkStart w:id="190" w:name="xdx_800_ecustom--DisclosureFinancialInst"/>
      <w:bookmarkStart w:id="191" w:name="xdx_23E_z5IDoqVj06Mb"/>
      <w:bookmarkEnd w:id="190"/>
      <w:bookmarkEnd w:id="191"/>
      <w:r>
        <w:rPr>
          <w:b/>
          <w:sz w:val="20"/>
        </w:rPr>
        <w:t xml:space="preserve">NOTE 5: </w:t>
      </w:r>
      <w:bookmarkStart w:id="192" w:name="xdx_82D_zad4NyTN7mw7"/>
      <w:bookmarkEnd w:id="192"/>
      <w:r>
        <w:rPr>
          <w:b/>
          <w:sz w:val="20"/>
        </w:rPr>
        <w:t>FINANCIAL INSTRUMENTS</w:t>
      </w:r>
    </w:p>
    <w:p>
      <w:pPr>
        <w:pStyle w:val="TextBody"/>
        <w:bidi w:val="0"/>
        <w:spacing w:before="24" w:after="24"/>
        <w:ind w:left="24" w:right="24" w:hanging="0"/>
        <w:jc w:val="left"/>
        <w:rPr/>
      </w:pPr>
      <w:r>
        <w:rPr/>
        <w:t> </w:t>
      </w:r>
    </w:p>
    <w:p>
      <w:pPr>
        <w:pStyle w:val="TextBody"/>
        <w:bidi w:val="0"/>
        <w:spacing w:before="1" w:after="1"/>
        <w:ind w:left="492" w:right="26" w:hanging="0"/>
        <w:jc w:val="left"/>
        <w:rPr>
          <w:sz w:val="20"/>
        </w:rPr>
      </w:pPr>
      <w:r>
        <w:rPr>
          <w:sz w:val="20"/>
        </w:rPr>
        <w:t>The following table presents the fair value measurement hierarchy for the Group's assets and liabilities. Quantitative disclosures of the fair value measurement hierarchy of the Group's assets and liabilities:</w:t>
      </w:r>
    </w:p>
    <w:p>
      <w:pPr>
        <w:pStyle w:val="TextBody"/>
        <w:bidi w:val="0"/>
        <w:ind w:left="567" w:right="0" w:hanging="0"/>
        <w:jc w:val="left"/>
        <w:rPr/>
      </w:pPr>
      <w:r>
        <w:rPr/>
        <w:t> </w:t>
      </w:r>
    </w:p>
    <w:p>
      <w:pPr>
        <w:pStyle w:val="Normal"/>
        <w:bidi w:val="0"/>
        <w:spacing w:before="0" w:after="0"/>
        <w:jc w:val="left"/>
        <w:rPr>
          <w:sz w:val="4"/>
          <w:szCs w:val="4"/>
        </w:rPr>
      </w:pPr>
      <w:r>
        <w:rPr>
          <w:sz w:val="4"/>
          <w:szCs w:val="4"/>
        </w:rPr>
      </w:r>
      <w:bookmarkStart w:id="193" w:name="xdx_89F_eifrs-full--DisclosureOfFinancia"/>
      <w:bookmarkStart w:id="194" w:name="xdx_89F_eifrs-full--DisclosureOfFinancia"/>
      <w:bookmarkEnd w:id="194"/>
    </w:p>
    <w:tbl>
      <w:tblPr>
        <w:tblW w:w="9782" w:type="dxa"/>
        <w:jc w:val="left"/>
        <w:tblInd w:w="0" w:type="dxa"/>
        <w:tblLayout w:type="fixed"/>
        <w:tblCellMar>
          <w:top w:w="0" w:type="dxa"/>
          <w:left w:w="0" w:type="dxa"/>
          <w:bottom w:w="0" w:type="dxa"/>
          <w:right w:w="0" w:type="dxa"/>
        </w:tblCellMar>
      </w:tblPr>
      <w:tblGrid>
        <w:gridCol w:w="6470"/>
        <w:gridCol w:w="60"/>
        <w:gridCol w:w="133"/>
        <w:gridCol w:w="516"/>
        <w:gridCol w:w="60"/>
        <w:gridCol w:w="60"/>
        <w:gridCol w:w="60"/>
        <w:gridCol w:w="590"/>
        <w:gridCol w:w="60"/>
        <w:gridCol w:w="60"/>
        <w:gridCol w:w="148"/>
        <w:gridCol w:w="576"/>
        <w:gridCol w:w="71"/>
        <w:gridCol w:w="71"/>
        <w:gridCol w:w="71"/>
        <w:gridCol w:w="701"/>
        <w:gridCol w:w="75"/>
      </w:tblGrid>
      <w:tr>
        <w:trPr/>
        <w:tc>
          <w:tcPr>
            <w:tcW w:w="6470" w:type="dxa"/>
            <w:tcBorders/>
            <w:shd w:fill="FFFFFF" w:val="clear"/>
            <w:vAlign w:val="center"/>
          </w:tcPr>
          <w:p>
            <w:pPr>
              <w:pStyle w:val="TableContents"/>
              <w:bidi w:val="0"/>
              <w:spacing w:before="0" w:after="283"/>
              <w:jc w:val="left"/>
              <w:rPr>
                <w:sz w:val="20"/>
              </w:rPr>
            </w:pPr>
            <w:bookmarkStart w:id="195" w:name="xdx_8BF_zQfMUcwGB07a"/>
            <w:bookmarkEnd w:id="195"/>
            <w:r>
              <w:rPr>
                <w:sz w:val="20"/>
              </w:rPr>
              <w:t>Schedule of Financial instruments measured at fair value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196" w:name="xdx_497_20260630__ifrs-full--ClassesOfFi"/>
            <w:bookmarkEnd w:id="196"/>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7" w:name="xdx_494_20260630__ifrs-full--ClassesOfFi"/>
            <w:bookmarkEnd w:id="197"/>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198" w:name="xdx_49E_20251231__ifrs-full--ClassesOfFi"/>
            <w:bookmarkEnd w:id="198"/>
          </w:p>
        </w:tc>
        <w:tc>
          <w:tcPr>
            <w:tcW w:w="576"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199" w:name="xdx_491_20251231__ifrs-full--ClassesOfFi"/>
            <w:bookmarkEnd w:id="199"/>
          </w:p>
        </w:tc>
        <w:tc>
          <w:tcPr>
            <w:tcW w:w="7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6"/>
            <w:tcBorders/>
            <w:vAlign w:val="center"/>
          </w:tcPr>
          <w:p>
            <w:pPr>
              <w:pStyle w:val="TableContents"/>
              <w:bidi w:val="0"/>
              <w:spacing w:before="0" w:after="283"/>
              <w:jc w:val="center"/>
              <w:rPr>
                <w:sz w:val="20"/>
              </w:rPr>
            </w:pPr>
            <w:r>
              <w:rPr>
                <w:sz w:val="20"/>
              </w:rPr>
              <w:t>Fair value hierarchy</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71" w:type="dxa"/>
            <w:tcBorders>
              <w:bottom w:val="single" w:sz="8"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bookmarkStart w:id="200" w:name="xdx_408_eifrs-full--FinancialAssetsAtFai"/>
            <w:bookmarkEnd w:id="200"/>
          </w:p>
        </w:tc>
      </w:tr>
      <w:tr>
        <w:trPr/>
        <w:tc>
          <w:tcPr>
            <w:tcW w:w="6470" w:type="dxa"/>
            <w:tcBorders/>
            <w:shd w:fill="CCEEFF" w:val="clear"/>
            <w:vAlign w:val="center"/>
          </w:tcPr>
          <w:p>
            <w:pPr>
              <w:pStyle w:val="TableContents"/>
              <w:bidi w:val="0"/>
              <w:spacing w:before="0" w:after="283"/>
              <w:jc w:val="left"/>
              <w:rPr>
                <w:sz w:val="20"/>
              </w:rPr>
            </w:pPr>
            <w:r>
              <w:rPr>
                <w:sz w:val="20"/>
              </w:rPr>
              <w:t>Assets measured at fair value: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01" w:name="xdx_40A_eifrs-full--CurrentDerivativeFin"/>
            <w:bookmarkEnd w:id="201"/>
          </w:p>
        </w:tc>
      </w:tr>
      <w:tr>
        <w:trPr/>
        <w:tc>
          <w:tcPr>
            <w:tcW w:w="6470" w:type="dxa"/>
            <w:tcBorders/>
            <w:shd w:fill="FFFFFF" w:val="clear"/>
            <w:vAlign w:val="center"/>
          </w:tcPr>
          <w:p>
            <w:pPr>
              <w:pStyle w:val="TableContents"/>
              <w:bidi w:val="0"/>
              <w:spacing w:before="0" w:after="283"/>
              <w:jc w:val="left"/>
              <w:rPr>
                <w:sz w:val="20"/>
              </w:rPr>
            </w:pPr>
            <w:r>
              <w:rPr>
                <w:sz w:val="20"/>
              </w:rPr>
              <w:t>Derivative financial instruments (a)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20"/>
              </w:rPr>
            </w:pPr>
            <w:r>
              <w:rPr>
                <w:sz w:val="20"/>
              </w:rPr>
              <w:t>1,060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sz w:val="20"/>
              </w:rPr>
            </w:pPr>
            <w:r>
              <w:rPr>
                <w:sz w:val="20"/>
              </w:rPr>
              <w:t>1,432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02" w:name="xdx_40D_ecustom--InvestmentsInFinancialA"/>
            <w:bookmarkEnd w:id="202"/>
          </w:p>
        </w:tc>
      </w:tr>
      <w:tr>
        <w:trPr/>
        <w:tc>
          <w:tcPr>
            <w:tcW w:w="6470" w:type="dxa"/>
            <w:tcBorders/>
            <w:shd w:fill="CCEEFF" w:val="clear"/>
            <w:vAlign w:val="center"/>
          </w:tcPr>
          <w:p>
            <w:pPr>
              <w:pStyle w:val="TableContents"/>
              <w:bidi w:val="0"/>
              <w:spacing w:before="0" w:after="283"/>
              <w:jc w:val="left"/>
              <w:rPr>
                <w:sz w:val="20"/>
              </w:rPr>
            </w:pPr>
            <w:r>
              <w:rPr>
                <w:sz w:val="20"/>
              </w:rPr>
              <w:t>Investments in financial assets measured at fair value through profit and loss (b)</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20"/>
              </w:rPr>
            </w:pPr>
            <w:r>
              <w:rPr>
                <w:sz w:val="20"/>
              </w:rPr>
              <w:t>$</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576"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sz w:val="20"/>
              </w:rPr>
            </w:pPr>
            <w:r>
              <w:rPr>
                <w:sz w:val="20"/>
              </w:rPr>
              <w:t>14,656</w:t>
            </w:r>
          </w:p>
        </w:tc>
        <w:tc>
          <w:tcPr>
            <w:tcW w:w="7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03" w:name="xdx_408_ecustom--FinancialLiabilityMeasu"/>
            <w:bookmarkEnd w:id="203"/>
          </w:p>
        </w:tc>
      </w:tr>
      <w:tr>
        <w:trPr/>
        <w:tc>
          <w:tcPr>
            <w:tcW w:w="6470" w:type="dxa"/>
            <w:tcBorders/>
            <w:shd w:fill="CCEEFF" w:val="clear"/>
            <w:vAlign w:val="center"/>
          </w:tcPr>
          <w:p>
            <w:pPr>
              <w:pStyle w:val="TableContents"/>
              <w:bidi w:val="0"/>
              <w:spacing w:before="0" w:after="283"/>
              <w:jc w:val="left"/>
              <w:rPr>
                <w:sz w:val="20"/>
              </w:rPr>
            </w:pPr>
            <w:r>
              <w:rPr>
                <w:sz w:val="20"/>
              </w:rPr>
              <w:t>Financial liability measured at fair value through profit and loss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319</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204" w:name="xdx_8AE_zXvIJQDudTuc"/>
      <w:bookmarkEnd w:id="204"/>
      <w:r>
        <w:rPr/>
        <w:t> </w:t>
      </w:r>
    </w:p>
    <w:p>
      <w:pPr>
        <w:pStyle w:val="TextBody"/>
        <w:bidi w:val="0"/>
        <w:ind w:left="862" w:right="0" w:hanging="0"/>
        <w:jc w:val="left"/>
        <w:rPr/>
      </w:pPr>
      <w:r>
        <w:rPr/>
        <w:t> </w:t>
      </w:r>
    </w:p>
    <w:tbl>
      <w:tblPr>
        <w:tblW w:w="3288" w:type="dxa"/>
        <w:jc w:val="left"/>
        <w:tblInd w:w="0" w:type="dxa"/>
        <w:tblLayout w:type="fixed"/>
        <w:tblCellMar>
          <w:top w:w="0" w:type="dxa"/>
          <w:left w:w="0" w:type="dxa"/>
          <w:bottom w:w="0" w:type="dxa"/>
          <w:right w:w="0" w:type="dxa"/>
        </w:tblCellMar>
      </w:tblPr>
      <w:tblGrid>
        <w:gridCol w:w="38"/>
        <w:gridCol w:w="185"/>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3065" w:type="dxa"/>
            <w:tcBorders/>
            <w:vAlign w:val="center"/>
          </w:tcPr>
          <w:p>
            <w:pPr>
              <w:pStyle w:val="TableContents"/>
              <w:bidi w:val="0"/>
              <w:spacing w:before="0" w:after="283"/>
              <w:jc w:val="left"/>
              <w:rPr>
                <w:i/>
              </w:rPr>
            </w:pPr>
            <w:r>
              <w:rPr>
                <w:i/>
              </w:rPr>
              <w:t>Derivative financial instruments</w:t>
            </w:r>
          </w:p>
        </w:tc>
      </w:tr>
    </w:tbl>
    <w:p>
      <w:pPr>
        <w:pStyle w:val="TextBody"/>
        <w:bidi w:val="0"/>
        <w:spacing w:before="14" w:after="14"/>
        <w:ind w:left="14" w:right="14" w:hanging="0"/>
        <w:jc w:val="left"/>
        <w:rPr/>
      </w:pPr>
      <w:r>
        <w:rPr/>
        <w:t> </w:t>
      </w:r>
    </w:p>
    <w:p>
      <w:pPr>
        <w:pStyle w:val="TextBody"/>
        <w:bidi w:val="0"/>
        <w:ind w:left="849" w:right="283" w:hanging="0"/>
        <w:jc w:val="both"/>
        <w:rPr>
          <w:sz w:val="20"/>
        </w:rPr>
      </w:pPr>
      <w:r>
        <w:rPr>
          <w:sz w:val="20"/>
        </w:rPr>
        <w:t>The Company entered into several foreign currency forward contracts to protect against changes in the value of forecasted cash flow relating to salaries and related payments, service providers, and office rent expenses denominated in NIS. These contracts are designated as derivative financial instruments measured at fair value through profit or loss, in accordance with IFRS 9.</w:t>
      </w:r>
    </w:p>
    <w:p>
      <w:pPr>
        <w:pStyle w:val="TextBody"/>
        <w:bidi w:val="0"/>
        <w:spacing w:before="8" w:after="8"/>
        <w:ind w:left="8" w:right="8" w:hanging="0"/>
        <w:jc w:val="left"/>
        <w:rPr/>
      </w:pPr>
      <w:r>
        <w:rPr/>
        <w:t> </w:t>
      </w:r>
    </w:p>
    <w:p>
      <w:pPr>
        <w:pStyle w:val="TextBody"/>
        <w:bidi w:val="0"/>
        <w:spacing w:before="1" w:after="1"/>
        <w:ind w:left="849" w:right="282" w:hanging="0"/>
        <w:jc w:val="both"/>
        <w:rPr>
          <w:sz w:val="20"/>
        </w:rPr>
      </w:pPr>
      <w:r>
        <w:rPr>
          <w:sz w:val="20"/>
        </w:rPr>
        <w:t>During the six months periods ended June 30, 2026, and 2025, the Company recognized a gain of $</w:t>
      </w:r>
      <w:bookmarkStart w:id="205" w:name="xdx_906_eifrs-full--GainLossOnHedgeIneff"/>
      <w:bookmarkEnd w:id="205"/>
      <w:r>
        <w:rPr>
          <w:sz w:val="20"/>
        </w:rPr>
        <w:t>646, and a loss of $</w:t>
      </w:r>
      <w:bookmarkStart w:id="206" w:name="xdx_90B_eifrs-full--GainLossOnHedgeIneff"/>
      <w:bookmarkEnd w:id="206"/>
      <w:r>
        <w:rPr>
          <w:sz w:val="20"/>
        </w:rPr>
        <w:t>1,443, respectively, on the financial investments denominated in New Israeli Shekels (NIS), due to the appreciation of ILS relative to the U.S. Dollar. The gain was recorded in profit or loss, consistent with the instrument’s classification under IFRS 9.</w:t>
      </w:r>
    </w:p>
    <w:p>
      <w:pPr>
        <w:pStyle w:val="TextBody"/>
        <w:bidi w:val="0"/>
        <w:spacing w:before="1" w:after="1"/>
        <w:ind w:left="849" w:right="282"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Significant investments in financial instruments are measured at fair value through profit or loss (Level 3 of fair value hierarchy), using the valuation techniques described below.</w:t>
            </w:r>
          </w:p>
        </w:tc>
      </w:tr>
    </w:tbl>
    <w:p>
      <w:pPr>
        <w:pStyle w:val="TextBody"/>
        <w:bidi w:val="0"/>
        <w:ind w:left="1080" w:right="0" w:hanging="567"/>
        <w:jc w:val="both"/>
        <w:rPr/>
      </w:pPr>
      <w:r>
        <w:rPr/>
        <w:t> </w:t>
      </w:r>
    </w:p>
    <w:p>
      <w:pPr>
        <w:pStyle w:val="TextBody"/>
        <w:bidi w:val="0"/>
        <w:ind w:left="849" w:right="283" w:hanging="0"/>
        <w:jc w:val="both"/>
        <w:rPr>
          <w:sz w:val="20"/>
        </w:rPr>
      </w:pPr>
      <w:r>
        <w:rPr>
          <w:sz w:val="20"/>
        </w:rPr>
        <w:t>The fair value of the financial instruments is determined using a combination of valuation techniques, including Monte Carlo simulations (applied, among others, to Neurolief), including a Least Squares Monte Carlo framework applied to multi-date contractual exercise rights (applied, among others, to Neurolief), option pricing models based on a binomial framework and on a closed-form model, a market approach based on revenue or EBITDA multiples (the revenue multiple approach being applied, among others, to Neurolief, in deriving the enterprise value used in its Monte Carlo simulation), and, for investments completed shortly before the reporting date, calibration to the price of the recent transaction.</w:t>
      </w:r>
    </w:p>
    <w:p>
      <w:pPr>
        <w:pStyle w:val="TextBody"/>
        <w:bidi w:val="0"/>
        <w:ind w:left="849" w:right="283" w:hanging="0"/>
        <w:jc w:val="both"/>
        <w:rPr/>
      </w:pPr>
      <w:r>
        <w:rPr/>
        <w:t> </w:t>
      </w:r>
    </w:p>
    <w:p>
      <w:pPr>
        <w:pStyle w:val="TextBody"/>
        <w:bidi w:val="0"/>
        <w:ind w:left="849" w:right="283" w:hanging="0"/>
        <w:jc w:val="both"/>
        <w:rPr>
          <w:sz w:val="20"/>
        </w:rPr>
      </w:pPr>
      <w:r>
        <w:rPr>
          <w:sz w:val="20"/>
        </w:rPr>
        <w:t>The Monte Carlo simulations incorporate significant unobservable inputs such as a weighted average cost of capital (WACC) with a weighted average rate of 21.61% (primarily attributable to Neurolief, for which a WACC of 20.83% was applied), expected enterprise-value volatility assumptions ranging up to 77.85% (the upper end of the range being attributable to Neurolief, for which volatility of 77.41%-77.85% was applied) with a weighted average of 64.93% (primarily attributable to Neurolief, for which volatility of approximately 77.6% was applied, and to Stella), and a risk-free interest rate with a weighted average of 4.08% (primarily attributable to Neurolief, for which rates of 3.98%–4.15% were applied, and to Stella). The option pricing models rely on significant unobservable inputs including expected enterprise-value volatility of 46.65% and a risk-free interest rate with a weighted average of 4.24%. In addition, the market approach applies revenue multiples as a significant unobservable input, which were determined based on comparable market data and resulted in a weighted average multiple of 2.13 (primarily attributable to Neurolief, for which a multiple of 2.57x was applied, and to Stella), as well as an EV/EBITDA multiple of 6.5 applied to one investment. For that investment, a probability-weighted scenario analysis was applied, using probabilities of 59%, 40% and 1% assigned to the low, base and ideal scenarios, respectively. Changes in these assumptions could result in material changes to the fair value measurements.</w:t>
      </w:r>
    </w:p>
    <w:p>
      <w:pPr>
        <w:pStyle w:val="TextBody"/>
        <w:bidi w:val="0"/>
        <w:ind w:left="1080" w:right="0" w:hanging="567"/>
        <w:jc w:val="both"/>
        <w:rPr/>
      </w:pPr>
      <w:r>
        <w:rPr/>
        <w:t> </w:t>
      </w:r>
    </w:p>
    <w:p>
      <w:pPr>
        <w:pStyle w:val="Normal"/>
        <w:bidi w:val="0"/>
        <w:spacing w:before="0" w:after="0"/>
        <w:jc w:val="left"/>
        <w:rPr>
          <w:sz w:val="4"/>
          <w:szCs w:val="4"/>
        </w:rPr>
      </w:pPr>
      <w:r>
        <w:rPr>
          <w:sz w:val="4"/>
          <w:szCs w:val="4"/>
        </w:rPr>
      </w:r>
      <w:bookmarkStart w:id="207" w:name="xdx_892_eifrs-full--DisclosureOfFinancia"/>
      <w:bookmarkStart w:id="208" w:name="xdx_892_eifrs-full--DisclosureOfFinancia"/>
      <w:bookmarkEnd w:id="208"/>
    </w:p>
    <w:tbl>
      <w:tblPr>
        <w:tblW w:w="8843" w:type="dxa"/>
        <w:jc w:val="left"/>
        <w:tblInd w:w="0" w:type="dxa"/>
        <w:tblLayout w:type="fixed"/>
        <w:tblCellMar>
          <w:top w:w="0" w:type="dxa"/>
          <w:left w:w="0" w:type="dxa"/>
          <w:bottom w:w="0" w:type="dxa"/>
          <w:right w:w="0" w:type="dxa"/>
        </w:tblCellMar>
      </w:tblPr>
      <w:tblGrid>
        <w:gridCol w:w="6650"/>
        <w:gridCol w:w="60"/>
        <w:gridCol w:w="126"/>
        <w:gridCol w:w="598"/>
        <w:gridCol w:w="80"/>
        <w:gridCol w:w="60"/>
        <w:gridCol w:w="204"/>
        <w:gridCol w:w="970"/>
        <w:gridCol w:w="95"/>
      </w:tblGrid>
      <w:tr>
        <w:trPr/>
        <w:tc>
          <w:tcPr>
            <w:tcW w:w="6650" w:type="dxa"/>
            <w:tcBorders/>
            <w:shd w:fill="FFFFFF" w:val="clear"/>
            <w:vAlign w:val="center"/>
          </w:tcPr>
          <w:p>
            <w:pPr>
              <w:pStyle w:val="TableContents"/>
              <w:bidi w:val="0"/>
              <w:spacing w:before="0" w:after="283"/>
              <w:ind w:left="0" w:right="0" w:hanging="170"/>
              <w:jc w:val="left"/>
              <w:rPr>
                <w:sz w:val="20"/>
              </w:rPr>
            </w:pPr>
            <w:bookmarkStart w:id="209" w:name="xdx_8B8_zbqzHCYXI50c"/>
            <w:bookmarkEnd w:id="209"/>
            <w:r>
              <w:rPr>
                <w:sz w:val="20"/>
              </w:rPr>
              <w:t>Schedule of  financial instruments are measured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Financial assets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Neurolief (1)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bookmarkStart w:id="210" w:name="xdx_980_eifrs-full--FinancialAssetsAtFai"/>
            <w:bookmarkEnd w:id="210"/>
          </w:p>
        </w:tc>
        <w:tc>
          <w:tcPr>
            <w:tcW w:w="598" w:type="dxa"/>
            <w:tcBorders/>
            <w:shd w:fill="CCEEFF" w:val="clear"/>
            <w:vAlign w:val="center"/>
          </w:tcPr>
          <w:p>
            <w:pPr>
              <w:pStyle w:val="TableContents"/>
              <w:bidi w:val="0"/>
              <w:spacing w:before="0" w:after="283"/>
              <w:jc w:val="right"/>
              <w:rPr>
                <w:sz w:val="20"/>
              </w:rPr>
            </w:pPr>
            <w:r>
              <w:rPr>
                <w:sz w:val="20"/>
              </w:rPr>
              <w:t>11,452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bookmarkStart w:id="211" w:name="xdx_984_eifrs-full--FinancialAssetsAtFai"/>
            <w:bookmarkEnd w:id="211"/>
          </w:p>
        </w:tc>
        <w:tc>
          <w:tcPr>
            <w:tcW w:w="970" w:type="dxa"/>
            <w:tcBorders/>
            <w:shd w:fill="CCEEFF" w:val="clear"/>
            <w:vAlign w:val="center"/>
          </w:tcPr>
          <w:p>
            <w:pPr>
              <w:pStyle w:val="TableContents"/>
              <w:bidi w:val="0"/>
              <w:spacing w:before="0" w:after="283"/>
              <w:jc w:val="right"/>
              <w:rPr>
                <w:sz w:val="20"/>
              </w:rPr>
            </w:pPr>
            <w:r>
              <w:rPr>
                <w:sz w:val="20"/>
              </w:rPr>
              <w:t>5,366</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sz w:val="20"/>
              </w:rPr>
            </w:pPr>
            <w:r>
              <w:rPr>
                <w:sz w:val="20"/>
              </w:rPr>
              <w:t>Stella</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212" w:name="xdx_983_eifrs-full--FinancialAssetsAtFai"/>
            <w:bookmarkEnd w:id="212"/>
          </w:p>
        </w:tc>
        <w:tc>
          <w:tcPr>
            <w:tcW w:w="598" w:type="dxa"/>
            <w:tcBorders/>
            <w:shd w:fill="FFFFFF" w:val="clear"/>
            <w:vAlign w:val="center"/>
          </w:tcPr>
          <w:p>
            <w:pPr>
              <w:pStyle w:val="TableContents"/>
              <w:bidi w:val="0"/>
              <w:spacing w:before="0" w:after="283"/>
              <w:jc w:val="right"/>
              <w:rPr>
                <w:sz w:val="20"/>
              </w:rPr>
            </w:pPr>
            <w:r>
              <w:rPr>
                <w:sz w:val="20"/>
              </w:rPr>
              <w:t>5,631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bookmarkStart w:id="213" w:name="xdx_988_eifrs-full--FinancialAssetsAtFai"/>
            <w:bookmarkEnd w:id="213"/>
          </w:p>
        </w:tc>
        <w:tc>
          <w:tcPr>
            <w:tcW w:w="970" w:type="dxa"/>
            <w:tcBorders/>
            <w:shd w:fill="FFFFFF" w:val="cle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Axis (2)</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214" w:name="xdx_987_eifrs-full--FinancialAssetsAtFai"/>
            <w:bookmarkEnd w:id="214"/>
          </w:p>
        </w:tc>
        <w:tc>
          <w:tcPr>
            <w:tcW w:w="598" w:type="dxa"/>
            <w:tcBorders/>
            <w:shd w:fill="CCEEFF" w:val="clear"/>
            <w:vAlign w:val="center"/>
          </w:tcPr>
          <w:p>
            <w:pPr>
              <w:pStyle w:val="TableContents"/>
              <w:bidi w:val="0"/>
              <w:spacing w:before="0" w:after="283"/>
              <w:jc w:val="right"/>
              <w:rPr>
                <w:sz w:val="20"/>
              </w:rPr>
            </w:pPr>
            <w:r>
              <w:rPr>
                <w:sz w:val="20"/>
              </w:rPr>
              <w:t>2,608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bookmarkStart w:id="215" w:name="xdx_985_eifrs-full--FinancialAssetsAtFai"/>
            <w:bookmarkEnd w:id="215"/>
          </w:p>
        </w:tc>
        <w:tc>
          <w:tcPr>
            <w:tcW w:w="970" w:type="dxa"/>
            <w:tcBorders/>
            <w:shd w:fill="CCEEFF" w:val="clear"/>
            <w:vAlign w:val="center"/>
          </w:tcPr>
          <w:p>
            <w:pPr>
              <w:pStyle w:val="TableContents"/>
              <w:bidi w:val="0"/>
              <w:spacing w:before="0" w:after="283"/>
              <w:jc w:val="right"/>
              <w:rPr>
                <w:sz w:val="20"/>
              </w:rPr>
            </w:pPr>
            <w:r>
              <w:rPr>
                <w:sz w:val="20"/>
              </w:rPr>
              <w:t>2,377</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sz w:val="20"/>
              </w:rPr>
            </w:pPr>
            <w:r>
              <w:rPr>
                <w:sz w:val="20"/>
              </w:rPr>
              <w:t>Tangient (3)</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216" w:name="xdx_986_eifrs-full--FinancialAssetsAtFai"/>
            <w:bookmarkEnd w:id="216"/>
          </w:p>
        </w:tc>
        <w:tc>
          <w:tcPr>
            <w:tcW w:w="598" w:type="dxa"/>
            <w:tcBorders/>
            <w:shd w:fill="FFFFFF" w:val="clear"/>
            <w:vAlign w:val="center"/>
          </w:tcPr>
          <w:p>
            <w:pPr>
              <w:pStyle w:val="TableContents"/>
              <w:bidi w:val="0"/>
              <w:spacing w:before="0" w:after="283"/>
              <w:jc w:val="right"/>
              <w:rPr>
                <w:sz w:val="20"/>
              </w:rPr>
            </w:pPr>
            <w:r>
              <w:rPr>
                <w:sz w:val="20"/>
              </w:rPr>
              <w:t>1,713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bookmarkStart w:id="217" w:name="xdx_98D_eifrs-full--FinancialAssetsAtFai"/>
            <w:bookmarkEnd w:id="217"/>
          </w:p>
        </w:tc>
        <w:tc>
          <w:tcPr>
            <w:tcW w:w="970" w:type="dxa"/>
            <w:tcBorders/>
            <w:shd w:fill="FFFFFF" w:val="clear"/>
            <w:vAlign w:val="center"/>
          </w:tcPr>
          <w:p>
            <w:pPr>
              <w:pStyle w:val="TableContents"/>
              <w:bidi w:val="0"/>
              <w:spacing w:before="0" w:after="283"/>
              <w:jc w:val="right"/>
              <w:rPr>
                <w:sz w:val="20"/>
              </w:rPr>
            </w:pPr>
            <w:r>
              <w:rPr>
                <w:sz w:val="20"/>
              </w:rPr>
              <w:t>1,538</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Hopemark (4)</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218" w:name="xdx_985_eifrs-full--FinancialAssetsAtFai"/>
            <w:bookmarkEnd w:id="218"/>
          </w:p>
        </w:tc>
        <w:tc>
          <w:tcPr>
            <w:tcW w:w="598" w:type="dxa"/>
            <w:tcBorders/>
            <w:shd w:fill="CCEEFF" w:val="clear"/>
            <w:vAlign w:val="center"/>
          </w:tcPr>
          <w:p>
            <w:pPr>
              <w:pStyle w:val="TableContents"/>
              <w:bidi w:val="0"/>
              <w:spacing w:before="0" w:after="283"/>
              <w:jc w:val="right"/>
              <w:rPr>
                <w:sz w:val="20"/>
              </w:rPr>
            </w:pPr>
            <w:r>
              <w:rPr>
                <w:sz w:val="20"/>
              </w:rPr>
              <w:t>1,515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bookmarkStart w:id="219" w:name="xdx_980_eifrs-full--FinancialAssetsAtFai"/>
            <w:bookmarkEnd w:id="219"/>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sz w:val="20"/>
              </w:rPr>
            </w:pPr>
            <w:r>
              <w:rPr>
                <w:sz w:val="20"/>
              </w:rPr>
              <w:t>BrainStim (5)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220" w:name="xdx_989_eifrs-full--FinancialAssetsAtFai"/>
            <w:bookmarkEnd w:id="220"/>
          </w:p>
        </w:tc>
        <w:tc>
          <w:tcPr>
            <w:tcW w:w="598" w:type="dxa"/>
            <w:tcBorders/>
            <w:shd w:fill="FFFFFF" w:val="clear"/>
            <w:vAlign w:val="center"/>
          </w:tcPr>
          <w:p>
            <w:pPr>
              <w:pStyle w:val="TableContents"/>
              <w:bidi w:val="0"/>
              <w:spacing w:before="0" w:after="283"/>
              <w:jc w:val="right"/>
              <w:rPr>
                <w:sz w:val="20"/>
              </w:rPr>
            </w:pPr>
            <w:r>
              <w:rPr>
                <w:sz w:val="20"/>
              </w:rPr>
              <w:t>1,063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bookmarkStart w:id="221" w:name="xdx_980_eifrs-full--FinancialAssetsAtFai"/>
            <w:bookmarkEnd w:id="221"/>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Active Recovery (6)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222" w:name="xdx_985_eifrs-full--FinancialAssetsAtFai"/>
            <w:bookmarkEnd w:id="222"/>
          </w:p>
        </w:tc>
        <w:tc>
          <w:tcPr>
            <w:tcW w:w="598" w:type="dxa"/>
            <w:tcBorders/>
            <w:shd w:fill="CCEEFF" w:val="clear"/>
            <w:vAlign w:val="center"/>
          </w:tcPr>
          <w:p>
            <w:pPr>
              <w:pStyle w:val="TableContents"/>
              <w:bidi w:val="0"/>
              <w:spacing w:before="0" w:after="283"/>
              <w:jc w:val="right"/>
              <w:rPr>
                <w:sz w:val="20"/>
              </w:rPr>
            </w:pPr>
            <w:r>
              <w:rPr>
                <w:sz w:val="20"/>
              </w:rPr>
              <w:t>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bookmarkStart w:id="223" w:name="xdx_983_eifrs-full--FinancialAssetsAtFai"/>
            <w:bookmarkEnd w:id="223"/>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sz w:val="20"/>
              </w:rPr>
            </w:pPr>
            <w:r>
              <w:rPr>
                <w:sz w:val="20"/>
              </w:rPr>
              <w:t>DGR</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224" w:name="xdx_980_eifrs-full--FinancialAssetsAtFai"/>
            <w:bookmarkEnd w:id="224"/>
          </w:p>
        </w:tc>
        <w:tc>
          <w:tcPr>
            <w:tcW w:w="598" w:type="dxa"/>
            <w:tcBorders/>
            <w:shd w:fill="FFFFFF" w:val="clear"/>
            <w:vAlign w:val="center"/>
          </w:tcPr>
          <w:p>
            <w:pPr>
              <w:pStyle w:val="TableContents"/>
              <w:bidi w:val="0"/>
              <w:spacing w:before="0" w:after="283"/>
              <w:jc w:val="right"/>
              <w:rPr>
                <w:sz w:val="20"/>
              </w:rPr>
            </w:pPr>
            <w:r>
              <w:rPr>
                <w:sz w:val="20"/>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bookmarkStart w:id="225" w:name="xdx_98C_eifrs-full--FinancialAssetsAtFai"/>
            <w:bookmarkEnd w:id="225"/>
          </w:p>
        </w:tc>
        <w:tc>
          <w:tcPr>
            <w:tcW w:w="970" w:type="dxa"/>
            <w:tcBorders/>
            <w:shd w:fill="FFFFFF" w:val="clear"/>
            <w:vAlign w:val="center"/>
          </w:tcPr>
          <w:p>
            <w:pPr>
              <w:pStyle w:val="TableContents"/>
              <w:bidi w:val="0"/>
              <w:spacing w:before="0" w:after="283"/>
              <w:jc w:val="right"/>
              <w:rPr>
                <w:sz w:val="20"/>
              </w:rPr>
            </w:pPr>
            <w:r>
              <w:rPr>
                <w:sz w:val="20"/>
              </w:rPr>
              <w:t>250</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Radial (7)</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6" w:name="xdx_98F_eifrs-full--FinancialAssetsAtFai"/>
            <w:bookmarkEnd w:id="226"/>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7" w:name="xdx_984_eifrs-full--FinancialAssetsAtFai"/>
            <w:bookmarkEnd w:id="227"/>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w:t>
            </w:r>
          </w:p>
        </w:tc>
        <w:tc>
          <w:tcPr>
            <w:tcW w:w="95" w:type="dxa"/>
            <w:tcBorders>
              <w:bottom w:val="single" w:sz="8" w:space="0" w:color="000000"/>
            </w:tcBorders>
            <w:shd w:fill="CCEEFF" w:val="clear"/>
            <w:tcMar>
              <w:bottom w:w="28" w:type="dxa"/>
            </w:tcM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Total financial assets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8" w:name="xdx_98B_eifrs-full--FinancialAssetsAtFai"/>
            <w:bookmarkEnd w:id="228"/>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25,000</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9" w:name="xdx_983_eifrs-full--FinancialAssetsAtFai"/>
            <w:bookmarkEnd w:id="229"/>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14,656</w:t>
            </w:r>
          </w:p>
        </w:tc>
        <w:tc>
          <w:tcPr>
            <w:tcW w:w="95" w:type="dxa"/>
            <w:tcBorders>
              <w:bottom w:val="single" w:sz="8" w:space="0" w:color="000000"/>
            </w:tcBorders>
            <w:shd w:fill="CCEEFF" w:val="clear"/>
            <w:tcMar>
              <w:bottom w:w="28" w:type="dxa"/>
            </w:tcM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Financial liabilities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70"/>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Neurolief (1)</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0" w:name="xdx_983_eifrs-full--FinancialLiabilities"/>
            <w:bookmarkEnd w:id="230"/>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(240</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1" w:name="xdx_984_eifrs-full--FinancialLiabilities"/>
            <w:bookmarkEnd w:id="231"/>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(319</w:t>
            </w:r>
          </w:p>
        </w:tc>
        <w:tc>
          <w:tcPr>
            <w:tcW w:w="95" w:type="dxa"/>
            <w:tcBorders>
              <w:bottom w:val="single" w:sz="8" w:space="0" w:color="000000"/>
            </w:tcBorders>
            <w:shd w:fill="CCEEFF" w:val="clear"/>
            <w:tcMar>
              <w:bottom w:w="28" w:type="dxa"/>
            </w:tcMar>
            <w:vAlign w:val="center"/>
          </w:tcPr>
          <w:p>
            <w:pPr>
              <w:pStyle w:val="TableContents"/>
              <w:bidi w:val="0"/>
              <w:spacing w:before="0" w:after="283"/>
              <w:ind w:left="0" w:right="0" w:hanging="170"/>
              <w:jc w:val="left"/>
              <w:rPr>
                <w:sz w:val="20"/>
              </w:rPr>
            </w:pPr>
            <w:r>
              <w:rPr>
                <w:sz w:val="20"/>
              </w:rPr>
              <w:t>)</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70"/>
              <w:jc w:val="left"/>
              <w:rPr/>
            </w:pPr>
            <w:r>
              <w:rPr/>
              <w:t> </w:t>
            </w:r>
          </w:p>
        </w:tc>
      </w:tr>
      <w:tr>
        <w:trPr/>
        <w:tc>
          <w:tcPr>
            <w:tcW w:w="6650" w:type="dxa"/>
            <w:tcBorders/>
            <w:shd w:fill="CCEEFF" w:val="clear"/>
            <w:vAlign w:val="center"/>
          </w:tcPr>
          <w:p>
            <w:pPr>
              <w:pStyle w:val="TableContents"/>
              <w:bidi w:val="0"/>
              <w:spacing w:before="0" w:after="283"/>
              <w:jc w:val="left"/>
              <w:rPr>
                <w:sz w:val="20"/>
              </w:rPr>
            </w:pPr>
            <w:r>
              <w:rPr>
                <w:sz w:val="20"/>
              </w:rPr>
              <w:t>Total financial liabilities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2" w:name="xdx_98B_eifrs-full--FinancialLiabilities"/>
            <w:bookmarkEnd w:id="232"/>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(240</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3" w:name="xdx_989_eifrs-full--FinancialLiabilities"/>
            <w:bookmarkEnd w:id="233"/>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129" w:after="129"/>
        <w:ind w:left="129" w:right="129" w:hanging="0"/>
        <w:jc w:val="left"/>
        <w:rPr/>
      </w:pPr>
      <w:bookmarkStart w:id="234" w:name="xdx_8A4_zoxiB1nB9l3b"/>
      <w:bookmarkEnd w:id="234"/>
      <w:r>
        <w:rPr/>
        <w:t> </w:t>
      </w:r>
    </w:p>
    <w:p>
      <w:pPr>
        <w:pStyle w:val="Normal"/>
        <w:bidi w:val="0"/>
        <w:spacing w:before="0" w:after="0"/>
        <w:jc w:val="left"/>
        <w:rPr>
          <w:sz w:val="4"/>
          <w:szCs w:val="4"/>
        </w:rPr>
      </w:pPr>
      <w:r>
        <w:rPr>
          <w:sz w:val="4"/>
          <w:szCs w:val="4"/>
        </w:rPr>
      </w:r>
      <w:bookmarkStart w:id="235" w:name="xdx_89C_ecustom--DisclosureOfWarrantsLia"/>
      <w:bookmarkStart w:id="236" w:name="xdx_89C_ecustom--DisclosureOfWarrantsLia"/>
      <w:bookmarkEnd w:id="236"/>
    </w:p>
    <w:tbl>
      <w:tblPr>
        <w:tblW w:w="10205" w:type="dxa"/>
        <w:jc w:val="left"/>
        <w:tblInd w:w="0" w:type="dxa"/>
        <w:tblLayout w:type="fixed"/>
        <w:tblCellMar>
          <w:top w:w="0" w:type="dxa"/>
          <w:left w:w="0" w:type="dxa"/>
          <w:bottom w:w="0" w:type="dxa"/>
          <w:right w:w="0" w:type="dxa"/>
        </w:tblCellMar>
      </w:tblPr>
      <w:tblGrid>
        <w:gridCol w:w="4239"/>
        <w:gridCol w:w="60"/>
        <w:gridCol w:w="263"/>
        <w:gridCol w:w="2596"/>
        <w:gridCol w:w="60"/>
        <w:gridCol w:w="60"/>
        <w:gridCol w:w="260"/>
        <w:gridCol w:w="2590"/>
        <w:gridCol w:w="77"/>
      </w:tblGrid>
      <w:tr>
        <w:trPr/>
        <w:tc>
          <w:tcPr>
            <w:tcW w:w="4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59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r>
      <w:tr>
        <w:trPr/>
        <w:tc>
          <w:tcPr>
            <w:tcW w:w="4239"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b/>
                <w:sz w:val="20"/>
              </w:rPr>
            </w:pPr>
            <w:r>
              <w:rPr>
                <w:b/>
                <w:sz w:val="20"/>
              </w:rPr>
              <w:t>For the six months ended June 30, 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b/>
                <w:sz w:val="20"/>
              </w:rPr>
            </w:pPr>
            <w:r>
              <w:rPr>
                <w:b/>
                <w:sz w:val="20"/>
              </w:rPr>
              <w:t>For the year ended December 31, 2025</w:t>
            </w:r>
          </w:p>
        </w:tc>
        <w:tc>
          <w:tcPr>
            <w:tcW w:w="7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39" w:type="dxa"/>
            <w:tcBorders/>
            <w:shd w:fill="CCEEFF" w:val="clear"/>
            <w:vAlign w:val="center"/>
          </w:tcPr>
          <w:p>
            <w:pPr>
              <w:pStyle w:val="TableContents"/>
              <w:bidi w:val="0"/>
              <w:spacing w:before="0" w:after="283"/>
              <w:jc w:val="left"/>
              <w:rPr>
                <w:sz w:val="20"/>
              </w:rPr>
            </w:pPr>
            <w:r>
              <w:rPr>
                <w:sz w:val="20"/>
              </w:rPr>
              <w:t>Balance as of January 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bookmarkStart w:id="237" w:name="xdx_984_eifrs-full--WarrantLiability_iS_"/>
            <w:bookmarkEnd w:id="237"/>
          </w:p>
        </w:tc>
        <w:tc>
          <w:tcPr>
            <w:tcW w:w="2596" w:type="dxa"/>
            <w:tcBorders/>
            <w:shd w:fill="CCEEFF" w:val="clear"/>
            <w:vAlign w:val="center"/>
          </w:tcPr>
          <w:p>
            <w:pPr>
              <w:pStyle w:val="TableContents"/>
              <w:bidi w:val="0"/>
              <w:spacing w:before="0" w:after="283"/>
              <w:jc w:val="right"/>
              <w:rPr>
                <w:sz w:val="20"/>
              </w:rPr>
            </w:pPr>
            <w:r>
              <w:rPr>
                <w:sz w:val="20"/>
              </w:rPr>
              <w:t>14,656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bookmarkStart w:id="238" w:name="xdx_980_eifrs-full--WarrantLiability_iS_"/>
            <w:bookmarkEnd w:id="238"/>
          </w:p>
        </w:tc>
        <w:tc>
          <w:tcPr>
            <w:tcW w:w="259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39" w:type="dxa"/>
            <w:tcBorders/>
            <w:shd w:fill="FFFFFF" w:val="clear"/>
            <w:vAlign w:val="center"/>
          </w:tcPr>
          <w:p>
            <w:pPr>
              <w:pStyle w:val="TableContents"/>
              <w:bidi w:val="0"/>
              <w:spacing w:before="0" w:after="283"/>
              <w:jc w:val="left"/>
              <w:rPr>
                <w:sz w:val="20"/>
              </w:rPr>
            </w:pPr>
            <w:r>
              <w:rPr>
                <w:sz w:val="20"/>
              </w:rPr>
              <w:t>Investment in financial instruments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bookmarkStart w:id="239" w:name="xdx_987_ecustom--InvestmentInFinancialIn"/>
            <w:bookmarkEnd w:id="239"/>
          </w:p>
        </w:tc>
        <w:tc>
          <w:tcPr>
            <w:tcW w:w="2596" w:type="dxa"/>
            <w:tcBorders/>
            <w:shd w:fill="FFFFFF" w:val="clear"/>
            <w:vAlign w:val="center"/>
          </w:tcPr>
          <w:p>
            <w:pPr>
              <w:pStyle w:val="TableContents"/>
              <w:bidi w:val="0"/>
              <w:spacing w:before="0" w:after="283"/>
              <w:jc w:val="right"/>
              <w:rPr>
                <w:sz w:val="20"/>
              </w:rPr>
            </w:pPr>
            <w:r>
              <w:rPr>
                <w:sz w:val="20"/>
              </w:rPr>
              <w:t>10,125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bookmarkStart w:id="240" w:name="xdx_98A_ecustom--InvestmentInFinancialIn"/>
            <w:bookmarkEnd w:id="240"/>
          </w:p>
        </w:tc>
        <w:tc>
          <w:tcPr>
            <w:tcW w:w="2590" w:type="dxa"/>
            <w:tcBorders/>
            <w:shd w:fill="FFFFFF" w:val="clear"/>
            <w:vAlign w:val="center"/>
          </w:tcPr>
          <w:p>
            <w:pPr>
              <w:pStyle w:val="TableContents"/>
              <w:bidi w:val="0"/>
              <w:spacing w:before="0" w:after="283"/>
              <w:jc w:val="right"/>
              <w:rPr>
                <w:sz w:val="20"/>
              </w:rPr>
            </w:pPr>
            <w:r>
              <w:rPr>
                <w:sz w:val="20"/>
              </w:rPr>
              <w:t>14,494</w:t>
            </w:r>
          </w:p>
        </w:tc>
        <w:tc>
          <w:tcPr>
            <w:tcW w:w="77" w:type="dxa"/>
            <w:tcBorders/>
            <w:shd w:fill="FFFFFF" w:val="clear"/>
            <w:vAlign w:val="center"/>
          </w:tcPr>
          <w:p>
            <w:pPr>
              <w:pStyle w:val="TableContents"/>
              <w:bidi w:val="0"/>
              <w:spacing w:before="0" w:after="283"/>
              <w:jc w:val="left"/>
              <w:rPr/>
            </w:pPr>
            <w:r>
              <w:rPr/>
              <w:t> </w:t>
            </w:r>
          </w:p>
        </w:tc>
      </w:tr>
      <w:tr>
        <w:trPr/>
        <w:tc>
          <w:tcPr>
            <w:tcW w:w="4239" w:type="dxa"/>
            <w:tcBorders/>
            <w:shd w:fill="CCEEFF" w:val="clear"/>
            <w:vAlign w:val="center"/>
          </w:tcPr>
          <w:p>
            <w:pPr>
              <w:pStyle w:val="TableContents"/>
              <w:bidi w:val="0"/>
              <w:spacing w:before="0" w:after="283"/>
              <w:jc w:val="left"/>
              <w:rPr>
                <w:sz w:val="20"/>
              </w:rPr>
            </w:pPr>
            <w:r>
              <w:rPr>
                <w:sz w:val="20"/>
              </w:rPr>
              <w:t>Gain from remeasurement to fair value through profit or loss</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1" w:name="xdx_98C_ecustom--GainFromRevaluationToFa"/>
            <w:bookmarkEnd w:id="241"/>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2" w:name="xdx_98F_ecustom--GainFromRevaluationToFa"/>
            <w:bookmarkEnd w:id="242"/>
          </w:p>
        </w:tc>
        <w:tc>
          <w:tcPr>
            <w:tcW w:w="2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162</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59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39" w:type="dxa"/>
            <w:tcBorders/>
            <w:shd w:fill="CCEEFF" w:val="clear"/>
            <w:vAlign w:val="center"/>
          </w:tcPr>
          <w:p>
            <w:pPr>
              <w:pStyle w:val="TableContents"/>
              <w:bidi w:val="0"/>
              <w:spacing w:before="0" w:after="283"/>
              <w:jc w:val="left"/>
              <w:rPr>
                <w:sz w:val="20"/>
              </w:rPr>
            </w:pPr>
            <w:r>
              <w:rPr>
                <w:sz w:val="20"/>
              </w:rPr>
              <w:t>Balance as of the end of the period</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3" w:name="xdx_982_eifrs-full--WarrantLiability_iE_"/>
            <w:bookmarkEnd w:id="243"/>
          </w:p>
        </w:tc>
        <w:tc>
          <w:tcPr>
            <w:tcW w:w="25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4" w:name="xdx_98E_eifrs-full--WarrantLiability_iE_"/>
            <w:bookmarkEnd w:id="244"/>
          </w:p>
        </w:tc>
        <w:tc>
          <w:tcPr>
            <w:tcW w:w="2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14,656</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ind w:left="881" w:right="0" w:hanging="0"/>
        <w:jc w:val="left"/>
        <w:rPr/>
      </w:pPr>
      <w:bookmarkStart w:id="245" w:name="xdx_8A3_zep0R6vu96P1"/>
      <w:bookmarkEnd w:id="245"/>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pPr>
            <w:r>
              <w:rPr/>
              <w:t>Further to Note 12(d) to the Company’s annual consolidated financial statements as of December 31, 2025, on March 23, 2026, the Company completed the second investment in Neurolief in the form of a $6 million convertible loan, following the achievement of the applicable FDA approval milestone.</w:t>
            </w:r>
          </w:p>
        </w:tc>
      </w:tr>
    </w:tbl>
    <w:p>
      <w:pPr>
        <w:pStyle w:val="TextBody"/>
        <w:bidi w:val="0"/>
        <w:spacing w:before="0" w:after="0"/>
        <w:ind w:left="907" w:right="899" w:hanging="0"/>
        <w:jc w:val="center"/>
        <w:rPr/>
      </w:pPr>
      <w:bookmarkStart w:id="246" w:name="xdx_236_zwUKnmMkVtP4"/>
      <w:bookmarkEnd w:id="246"/>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907" w:right="899" w:hanging="0"/>
        <w:jc w:val="center"/>
        <w:rPr/>
      </w:pPr>
      <w:bookmarkStart w:id="247" w:name="xdx_23A_zcutMNapWPQf"/>
      <w:bookmarkStart w:id="248" w:name="xdx_238_zzQkiAm2r3Rf"/>
      <w:bookmarkEnd w:id="247"/>
      <w:bookmarkEnd w:id="248"/>
      <w:r>
        <w:rPr/>
        <w:t> </w:t>
      </w:r>
    </w:p>
    <w:p>
      <w:pPr>
        <w:pStyle w:val="TextBody"/>
        <w:bidi w:val="0"/>
        <w:ind w:left="499" w:right="0" w:hanging="0"/>
        <w:jc w:val="left"/>
        <w:rPr>
          <w:b/>
          <w:sz w:val="20"/>
        </w:rPr>
      </w:pPr>
      <w:bookmarkStart w:id="249" w:name="xdx_233_zo5Zyhtvjlgd"/>
      <w:bookmarkEnd w:id="249"/>
      <w:r>
        <w:rPr>
          <w:b/>
          <w:sz w:val="20"/>
        </w:rPr>
        <w:t>NOTE 5: FINANCIAL INSTRUMENTS (cont’d)</w:t>
      </w:r>
    </w:p>
    <w:p>
      <w:pPr>
        <w:pStyle w:val="TextBody"/>
        <w:bidi w:val="0"/>
        <w:spacing w:before="0" w:after="283"/>
        <w:ind w:left="0" w:right="0" w:hanging="0"/>
        <w:jc w:val="both"/>
        <w:rPr/>
      </w:pPr>
      <w:bookmarkStart w:id="250" w:name="xdx_230_zuLxSfD7E9k4"/>
      <w:bookmarkEnd w:id="250"/>
      <w:r>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1" w:type="dxa"/>
            <w:tcBorders/>
            <w:vAlign w:val="center"/>
          </w:tcPr>
          <w:p>
            <w:pPr>
              <w:pStyle w:val="TableContents"/>
              <w:bidi w:val="0"/>
              <w:spacing w:before="0" w:after="283"/>
              <w:jc w:val="both"/>
              <w:rPr/>
            </w:pPr>
            <w:r>
              <w:rPr/>
              <w:t>Further to Note 12(d) to the Company's annual consolidated financial statements as of December 31, 2025, on March 12, 2026, the Group made an additional $1.0 million investment pursuant to the original purchase agreement. Following this investment, the Group's aggregate holding represents approximately 37.55% on a fully diluted basis.</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Further to Note 12(d) to the Company's annual consolidated financial statements as of December 31, 2025, after the reporting date, the first milestone was achieved, and on August 26, 2026, the Group made an additional investment of $833 pursuant to the agreement. Following this investment, the Group's aggregate holding represents approximately 14.74% on a fully diluted basis.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On May 12, 2026, the Group entered into an equity financing agreement with APS Innovations LLC, the parent company of Advanced Psychiatric Management LLC, a management services organization servicing multiple mental health clinics in the greater Chicago area (collectively, "Hopemark Health" or "Hopemark"). Under the terms of the agreement, the Group made an initial investment of $1.5 million, with potential for an additional $1.5 million via milestone-based investments, for a minority position in Hopemark in the form of a preferred, annually compounding security, representing approximately 6.4% on a fully diluted basis in respect of the initial investment. The preferred security accrues an annual return of 8%, compounded annually. The agreement also provides the Group with a redemption right pursuant to which it may require the repurchase of its shares, subject to the terms of the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both"/>
              <w:rPr/>
            </w:pPr>
            <w:r>
              <w:rPr/>
              <w:t>On February 18, 2026, the Group entered into an equity financing agreement with BrainStim Health Inc. ("BrainStim"), under which it made an initial investment of $1.0 million for a minority position in BrainStim in the form of a preferred, 8% annually compounding security, representing approximately 3.66% on a fully diluted basis, with potential for an additional $1.5 million via two milestone-based investments. The BrainStim agreement also provides for one-year put and call options commencing three years from consummation of the transaction at a price based on a minimum return on the investment. The Group is entitled to appoint an observer to BrainStim's board as long as the Group holds a certain minimum number or percentage of stock and was granted certain customary minority veto rights, as well as dividend preference and liquidation preference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both"/>
              <w:rPr/>
            </w:pPr>
            <w:r>
              <w:rPr/>
              <w:t>On January 22, 2026, the Group provided a $0.5 million convertible loan to Active Recovery TMS, LLC, a U.S.-based company operating in the mental health services sector. The loan is automatically convertible into the most senior class of preferred units issued in a qualified financing of at least $2.0 million, subject to the terms and conditions of the agreement. As no qualified financing was consummated by June 30, 2026, the loan bears interest at an annual rate of 6% commencing July 1, 2026. Unless earlier converted or the occurrence of any event of default, the outstanding principal and accrued interest will become due and payable on the second anniversary of the note.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8" w:type="dxa"/>
            <w:tcBorders/>
            <w:vAlign w:val="center"/>
          </w:tcPr>
          <w:p>
            <w:pPr>
              <w:pStyle w:val="TableContents"/>
              <w:bidi w:val="0"/>
              <w:spacing w:before="0" w:after="283"/>
              <w:jc w:val="both"/>
              <w:rPr/>
            </w:pPr>
            <w:r>
              <w:rPr/>
              <w:t>On October 20, 2025, the Group made an initial investment of $125 in Radial Health, Inc. ("Radial") in exchange for 42,580 Series A-1 Preferred Shares, followed by an additional investment of $125 on June 17, 2026 in exchange for 22,317 Series A-2 Preferred Shares, representing in the aggregate approximately 0.21% on a fully diluted basis as of June 30, 2026. Subsequent to the reporting date, the Group completed a further investment of $3,000 on July 15, 2026, in exchange for 535,628 Series A-2 Preferred Shares, increasing the Group's aggregate holding to approximately 1.92% on a fully diluted basis.</w:t>
            </w:r>
          </w:p>
        </w:tc>
      </w:tr>
    </w:tbl>
    <w:p>
      <w:pPr>
        <w:pStyle w:val="TextBody"/>
        <w:bidi w:val="0"/>
        <w:ind w:left="1440" w:right="0" w:hanging="0"/>
        <w:jc w:val="both"/>
        <w:rPr/>
      </w:pPr>
      <w:r>
        <w:rPr/>
        <w:t> </w:t>
      </w:r>
    </w:p>
    <w:p>
      <w:pPr>
        <w:pStyle w:val="TextBody"/>
        <w:bidi w:val="0"/>
        <w:ind w:left="1440" w:right="0" w:hanging="0"/>
        <w:jc w:val="both"/>
        <w:rPr/>
      </w:pPr>
      <w:bookmarkStart w:id="251" w:name="xdx_23F_zVgTVbeeenE2"/>
      <w:bookmarkEnd w:id="251"/>
      <w:r>
        <w:rPr/>
        <w:t> </w:t>
      </w:r>
    </w:p>
    <w:p>
      <w:pPr>
        <w:pStyle w:val="TextBody"/>
        <w:bidi w:val="0"/>
        <w:ind w:left="1440" w:right="0" w:hanging="0"/>
        <w:jc w:val="both"/>
        <w:rPr/>
      </w:pPr>
      <w:bookmarkStart w:id="252" w:name="xdx_23B_zxEhsI7zi5De"/>
      <w:bookmarkEnd w:id="25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left"/>
        <w:rPr/>
      </w:pPr>
      <w:bookmarkStart w:id="253" w:name="xdx_232_zn22SN5peWr5"/>
      <w:bookmarkStart w:id="254" w:name="xdx_238_zWLe5L6zkAoj"/>
      <w:bookmarkEnd w:id="253"/>
      <w:bookmarkEnd w:id="254"/>
      <w:r>
        <w:rPr/>
        <w:t> </w:t>
      </w:r>
    </w:p>
    <w:p>
      <w:pPr>
        <w:pStyle w:val="TextBody"/>
        <w:bidi w:val="0"/>
        <w:ind w:left="500" w:right="0" w:hanging="0"/>
        <w:jc w:val="left"/>
        <w:rPr>
          <w:b/>
          <w:sz w:val="20"/>
        </w:rPr>
      </w:pPr>
      <w:bookmarkStart w:id="255" w:name="xdx_803_eifrs-full--DisclosureOfCommitme"/>
      <w:bookmarkEnd w:id="255"/>
      <w:r>
        <w:rPr>
          <w:b/>
          <w:sz w:val="20"/>
        </w:rPr>
        <w:t xml:space="preserve">NOTE 6: </w:t>
      </w:r>
      <w:bookmarkStart w:id="256" w:name="xdx_825_zmvO9LgvMuF6"/>
      <w:bookmarkEnd w:id="256"/>
      <w:r>
        <w:rPr>
          <w:b/>
          <w:sz w:val="20"/>
        </w:rPr>
        <w:t>CONTINGENT LIABILITIES, COMMITMENTS AND CHARGES</w:t>
      </w:r>
    </w:p>
    <w:p>
      <w:pPr>
        <w:pStyle w:val="TextBody"/>
        <w:bidi w:val="0"/>
        <w:spacing w:before="24" w:after="24"/>
        <w:ind w:left="24" w:right="24" w:hanging="0"/>
        <w:jc w:val="left"/>
        <w:rPr/>
      </w:pPr>
      <w:r>
        <w:rPr/>
        <w:t> </w:t>
      </w:r>
    </w:p>
    <w:p>
      <w:pPr>
        <w:pStyle w:val="TextBody"/>
        <w:bidi w:val="0"/>
        <w:spacing w:before="1" w:after="1"/>
        <w:ind w:left="492" w:right="26" w:hanging="0"/>
        <w:jc w:val="left"/>
        <w:rPr>
          <w:sz w:val="20"/>
        </w:rPr>
      </w:pPr>
      <w:r>
        <w:rPr>
          <w:sz w:val="20"/>
        </w:rPr>
        <w:t>During the six months ended June 30, 2026, the Company repaid approximately $</w:t>
      </w:r>
      <w:bookmarkStart w:id="257" w:name="xdx_90B_ecustom--RefundableProjects_iI_p"/>
      <w:bookmarkEnd w:id="257"/>
      <w:r>
        <w:rPr>
          <w:sz w:val="20"/>
        </w:rPr>
        <w:t>845 in respect of refundable projects through royalties to the Israeli Government for participation grants in research and development. During this period, no additional grants were received from the government of Israel.</w:t>
      </w:r>
    </w:p>
    <w:p>
      <w:pPr>
        <w:pStyle w:val="TextBody"/>
        <w:bidi w:val="0"/>
        <w:spacing w:before="18" w:after="18"/>
        <w:ind w:left="18" w:right="18" w:hanging="0"/>
        <w:jc w:val="left"/>
        <w:rPr/>
      </w:pPr>
      <w:r>
        <w:rPr/>
        <w:t> </w:t>
      </w:r>
    </w:p>
    <w:p>
      <w:pPr>
        <w:pStyle w:val="TextBody"/>
        <w:bidi w:val="0"/>
        <w:ind w:left="499" w:right="0" w:hanging="0"/>
        <w:jc w:val="left"/>
        <w:rPr>
          <w:b/>
          <w:sz w:val="20"/>
        </w:rPr>
      </w:pPr>
      <w:bookmarkStart w:id="258" w:name="xdx_80F_ecustom--DisclosureOfEquityExpla"/>
      <w:bookmarkEnd w:id="258"/>
      <w:r>
        <w:rPr>
          <w:b/>
          <w:sz w:val="20"/>
        </w:rPr>
        <w:t xml:space="preserve">NOTE 7: </w:t>
      </w:r>
      <w:bookmarkStart w:id="259" w:name="xdx_825_zecrLUchcSmk"/>
      <w:bookmarkEnd w:id="259"/>
      <w:r>
        <w:rPr>
          <w:b/>
          <w:sz w:val="20"/>
        </w:rPr>
        <w:t>EQUITY</w:t>
      </w:r>
    </w:p>
    <w:p>
      <w:pPr>
        <w:pStyle w:val="TextBody"/>
        <w:bidi w:val="0"/>
        <w:spacing w:before="25" w:after="25"/>
        <w:ind w:left="25" w:right="25" w:hanging="0"/>
        <w:jc w:val="left"/>
        <w:rPr/>
      </w:pPr>
      <w:r>
        <w:rPr/>
        <w:t> </w:t>
      </w:r>
    </w:p>
    <w:tbl>
      <w:tblPr>
        <w:tblW w:w="3018" w:type="dxa"/>
        <w:jc w:val="left"/>
        <w:tblInd w:w="0" w:type="dxa"/>
        <w:tblLayout w:type="fixed"/>
        <w:tblCellMar>
          <w:top w:w="0" w:type="dxa"/>
          <w:left w:w="0" w:type="dxa"/>
          <w:bottom w:w="0" w:type="dxa"/>
          <w:right w:w="0" w:type="dxa"/>
        </w:tblCellMar>
      </w:tblPr>
      <w:tblGrid>
        <w:gridCol w:w="38"/>
        <w:gridCol w:w="18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795" w:type="dxa"/>
            <w:tcBorders/>
            <w:vAlign w:val="center"/>
          </w:tcPr>
          <w:p>
            <w:pPr>
              <w:pStyle w:val="TableContents"/>
              <w:bidi w:val="0"/>
              <w:spacing w:before="0" w:after="283"/>
              <w:jc w:val="left"/>
              <w:rPr/>
            </w:pPr>
            <w:r>
              <w:rPr/>
              <w:t>Composition of share capital:</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60" w:name="xdx_89E_ecustom--ScheduleOfClassesOfShar"/>
      <w:bookmarkStart w:id="261" w:name="xdx_89E_ecustom--ScheduleOfClassesOfShar"/>
      <w:bookmarkEnd w:id="261"/>
    </w:p>
    <w:tbl>
      <w:tblPr>
        <w:tblW w:w="8215" w:type="dxa"/>
        <w:jc w:val="left"/>
        <w:tblInd w:w="0" w:type="dxa"/>
        <w:tblLayout w:type="fixed"/>
        <w:tblCellMar>
          <w:top w:w="0" w:type="dxa"/>
          <w:left w:w="0" w:type="dxa"/>
          <w:bottom w:w="0" w:type="dxa"/>
          <w:right w:w="0" w:type="dxa"/>
        </w:tblCellMar>
      </w:tblPr>
      <w:tblGrid>
        <w:gridCol w:w="3470"/>
        <w:gridCol w:w="60"/>
        <w:gridCol w:w="60"/>
        <w:gridCol w:w="1055"/>
        <w:gridCol w:w="60"/>
        <w:gridCol w:w="60"/>
        <w:gridCol w:w="60"/>
        <w:gridCol w:w="950"/>
        <w:gridCol w:w="60"/>
        <w:gridCol w:w="60"/>
        <w:gridCol w:w="60"/>
        <w:gridCol w:w="1055"/>
        <w:gridCol w:w="60"/>
        <w:gridCol w:w="60"/>
        <w:gridCol w:w="60"/>
        <w:gridCol w:w="950"/>
        <w:gridCol w:w="75"/>
      </w:tblGrid>
      <w:tr>
        <w:trPr/>
        <w:tc>
          <w:tcPr>
            <w:tcW w:w="3470" w:type="dxa"/>
            <w:tcBorders/>
            <w:vAlign w:val="center"/>
          </w:tcPr>
          <w:p>
            <w:pPr>
              <w:pStyle w:val="TableContents"/>
              <w:bidi w:val="0"/>
              <w:spacing w:before="0" w:after="283"/>
              <w:jc w:val="left"/>
              <w:rPr>
                <w:sz w:val="20"/>
              </w:rPr>
            </w:pPr>
            <w:bookmarkStart w:id="262" w:name="xdx_8B0_zbmxqTrXZzHd"/>
            <w:bookmarkEnd w:id="262"/>
            <w:r>
              <w:rPr>
                <w:sz w:val="20"/>
              </w:rPr>
              <w:t>Schedule of composition of share capital</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3"/>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232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jc w:val="center"/>
              <w:rPr/>
            </w:pPr>
            <w:r>
              <w:rPr/>
              <w:t> </w:t>
            </w:r>
          </w:p>
          <w:p>
            <w:pPr>
              <w:pStyle w:val="TableContents"/>
              <w:bidi w:val="0"/>
              <w:spacing w:before="0" w:after="283"/>
              <w:jc w:val="center"/>
              <w:rPr>
                <w:b/>
                <w:sz w:val="20"/>
              </w:rPr>
            </w:pPr>
            <w:r>
              <w:rPr>
                <w:b/>
                <w:sz w:val="20"/>
              </w:rPr>
              <w:t>Authorized</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Issued and </w:t>
              <w:br/>
              <w:t>outstanding</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jc w:val="center"/>
              <w:rPr/>
            </w:pPr>
            <w:r>
              <w:rPr/>
              <w:t> </w:t>
            </w:r>
          </w:p>
          <w:p>
            <w:pPr>
              <w:pStyle w:val="TableContents"/>
              <w:bidi w:val="0"/>
              <w:spacing w:before="0" w:after="283"/>
              <w:jc w:val="center"/>
              <w:rPr>
                <w:b/>
                <w:sz w:val="20"/>
              </w:rPr>
            </w:pPr>
            <w:r>
              <w:rPr>
                <w:b/>
                <w:sz w:val="20"/>
              </w:rPr>
              <w:t>Authorized</w:t>
            </w:r>
          </w:p>
        </w:tc>
        <w:tc>
          <w:tcPr>
            <w:tcW w:w="60" w:type="dxa"/>
            <w:tcBorders/>
            <w:vAlign w:val="center"/>
          </w:tcPr>
          <w:p>
            <w:pPr>
              <w:pStyle w:val="TableContents"/>
              <w:bidi w:val="0"/>
              <w:spacing w:before="0" w:after="283"/>
              <w:jc w:val="left"/>
              <w:rPr/>
            </w:pPr>
            <w:r>
              <w:rPr/>
              <w:t> </w:t>
            </w:r>
          </w:p>
        </w:tc>
        <w:tc>
          <w:tcPr>
            <w:tcW w:w="10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Issued and </w:t>
              <w:br/>
              <w:t>outstanding</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5"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shares</w:t>
            </w:r>
          </w:p>
        </w:tc>
      </w:tr>
      <w:tr>
        <w:trPr/>
        <w:tc>
          <w:tcPr>
            <w:tcW w:w="3470" w:type="dxa"/>
            <w:tcBorders/>
            <w:shd w:fill="CCEEFF" w:val="clear"/>
            <w:vAlign w:val="center"/>
          </w:tcPr>
          <w:p>
            <w:pPr>
              <w:pStyle w:val="TableContents"/>
              <w:bidi w:val="0"/>
              <w:spacing w:before="0" w:after="283"/>
              <w:jc w:val="left"/>
              <w:rPr>
                <w:sz w:val="20"/>
              </w:rPr>
            </w:pPr>
            <w:r>
              <w:rPr>
                <w:sz w:val="20"/>
              </w:rPr>
              <w:t>Ordinary shares of NIS 0.04 par value each</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3" w:name="xdx_981_eifrs-full--NumberOfSharesAuthor"/>
            <w:bookmarkEnd w:id="263"/>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120,000,000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4" w:name="xdx_982_eifrs-full--NumberOfSharesOutsta"/>
            <w:bookmarkEnd w:id="264"/>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40,129,409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5" w:name="xdx_981_eifrs-full--NumberOfSharesAuthor"/>
            <w:bookmarkEnd w:id="26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120,000,000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6" w:name="xdx_986_eifrs-full--NumberOfSharesOutsta"/>
            <w:bookmarkEnd w:id="266"/>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39,165,805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267" w:name="xdx_8A8_zYcOygN4xrue"/>
      <w:bookmarkEnd w:id="267"/>
      <w:r>
        <w:rPr/>
        <w:t> </w:t>
      </w:r>
    </w:p>
    <w:tbl>
      <w:tblPr>
        <w:tblW w:w="2823" w:type="dxa"/>
        <w:jc w:val="left"/>
        <w:tblInd w:w="0" w:type="dxa"/>
        <w:tblLayout w:type="fixed"/>
        <w:tblCellMar>
          <w:top w:w="0" w:type="dxa"/>
          <w:left w:w="0" w:type="dxa"/>
          <w:bottom w:w="0" w:type="dxa"/>
          <w:right w:w="0" w:type="dxa"/>
        </w:tblCellMar>
      </w:tblPr>
      <w:tblGrid>
        <w:gridCol w:w="38"/>
        <w:gridCol w:w="20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2585" w:type="dxa"/>
            <w:tcBorders/>
            <w:vAlign w:val="center"/>
          </w:tcPr>
          <w:p>
            <w:pPr>
              <w:pStyle w:val="TableContents"/>
              <w:bidi w:val="0"/>
              <w:spacing w:before="0" w:after="283"/>
              <w:jc w:val="left"/>
              <w:rPr/>
            </w:pPr>
            <w:r>
              <w:rPr/>
              <w:t>Movement in share capital:</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68" w:name="xdx_899_ecustom--DisclosureOfIssuedAndOu"/>
      <w:bookmarkStart w:id="269" w:name="xdx_899_ecustom--DisclosureOfIssuedAndOu"/>
      <w:bookmarkEnd w:id="269"/>
    </w:p>
    <w:tbl>
      <w:tblPr>
        <w:tblW w:w="6343" w:type="dxa"/>
        <w:jc w:val="left"/>
        <w:tblInd w:w="0" w:type="dxa"/>
        <w:tblLayout w:type="fixed"/>
        <w:tblCellMar>
          <w:top w:w="0" w:type="dxa"/>
          <w:left w:w="0" w:type="dxa"/>
          <w:bottom w:w="0" w:type="dxa"/>
          <w:right w:w="0" w:type="dxa"/>
        </w:tblCellMar>
      </w:tblPr>
      <w:tblGrid>
        <w:gridCol w:w="3515"/>
        <w:gridCol w:w="60"/>
        <w:gridCol w:w="84"/>
        <w:gridCol w:w="1336"/>
        <w:gridCol w:w="84"/>
        <w:gridCol w:w="60"/>
        <w:gridCol w:w="73"/>
        <w:gridCol w:w="1039"/>
        <w:gridCol w:w="92"/>
      </w:tblGrid>
      <w:tr>
        <w:trPr/>
        <w:tc>
          <w:tcPr>
            <w:tcW w:w="3515" w:type="dxa"/>
            <w:tcBorders/>
            <w:shd w:fill="FFFFFF" w:val="clear"/>
            <w:vAlign w:val="center"/>
          </w:tcPr>
          <w:p>
            <w:pPr>
              <w:pStyle w:val="TableContents"/>
              <w:bidi w:val="0"/>
              <w:spacing w:before="0" w:after="283"/>
              <w:jc w:val="left"/>
              <w:rPr>
                <w:sz w:val="20"/>
              </w:rPr>
            </w:pPr>
            <w:bookmarkStart w:id="270" w:name="xdx_8BC_zYcNwI8RFMF"/>
            <w:bookmarkEnd w:id="270"/>
            <w:r>
              <w:rPr>
                <w:sz w:val="20"/>
              </w:rPr>
              <w:t>Schedule of issued and outstanding capital</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left"/>
              <w:rPr/>
            </w:pPr>
            <w:r>
              <w:rPr/>
              <w:t> </w:t>
            </w:r>
          </w:p>
        </w:tc>
        <w:tc>
          <w:tcPr>
            <w:tcW w:w="12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NIS par value</w:t>
            </w:r>
          </w:p>
        </w:tc>
      </w:tr>
      <w:tr>
        <w:trPr/>
        <w:tc>
          <w:tcPr>
            <w:tcW w:w="3515" w:type="dxa"/>
            <w:tcBorders/>
            <w:shd w:fill="CCEEFF" w:val="clear"/>
            <w:vAlign w:val="center"/>
          </w:tcPr>
          <w:p>
            <w:pPr>
              <w:pStyle w:val="TableContents"/>
              <w:bidi w:val="0"/>
              <w:spacing w:before="0" w:after="283"/>
              <w:jc w:val="both"/>
              <w:rPr>
                <w:sz w:val="20"/>
              </w:rPr>
            </w:pPr>
            <w:r>
              <w:rPr>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271" w:name="xdx_987_eifrs-full--NumberOfSharesOutsta"/>
            <w:bookmarkEnd w:id="271"/>
          </w:p>
        </w:tc>
        <w:tc>
          <w:tcPr>
            <w:tcW w:w="1336" w:type="dxa"/>
            <w:tcBorders/>
            <w:shd w:fill="CCEEFF" w:val="clear"/>
            <w:vAlign w:val="center"/>
          </w:tcPr>
          <w:p>
            <w:pPr>
              <w:pStyle w:val="TableContents"/>
              <w:bidi w:val="0"/>
              <w:spacing w:before="0" w:after="283"/>
              <w:jc w:val="right"/>
              <w:rPr>
                <w:sz w:val="20"/>
              </w:rPr>
            </w:pPr>
            <w:r>
              <w:rPr>
                <w:sz w:val="20"/>
              </w:rPr>
              <w:t>39,165,805</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272" w:name="xdx_980_ecustom--NumberOfSharesOutstandi"/>
            <w:bookmarkEnd w:id="272"/>
          </w:p>
        </w:tc>
        <w:tc>
          <w:tcPr>
            <w:tcW w:w="1039" w:type="dxa"/>
            <w:tcBorders/>
            <w:shd w:fill="CCEEFF" w:val="clear"/>
            <w:vAlign w:val="center"/>
          </w:tcPr>
          <w:p>
            <w:pPr>
              <w:pStyle w:val="TableContents"/>
              <w:bidi w:val="0"/>
              <w:spacing w:before="0" w:after="283"/>
              <w:jc w:val="right"/>
              <w:rPr>
                <w:sz w:val="20"/>
              </w:rPr>
            </w:pPr>
            <w:r>
              <w:rPr>
                <w:sz w:val="20"/>
              </w:rPr>
              <w:t>1,566,632</w:t>
            </w:r>
          </w:p>
        </w:tc>
        <w:tc>
          <w:tcPr>
            <w:tcW w:w="92"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sz w:val="20"/>
              </w:rPr>
            </w:pPr>
            <w:r>
              <w:rPr>
                <w:sz w:val="20"/>
              </w:rPr>
              <w:t>Vesting of RSU</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bookmarkStart w:id="273" w:name="xdx_982_ecustom--VestingOfRestrictedShar"/>
            <w:bookmarkEnd w:id="273"/>
          </w:p>
        </w:tc>
        <w:tc>
          <w:tcPr>
            <w:tcW w:w="1336" w:type="dxa"/>
            <w:tcBorders/>
            <w:shd w:fill="FFFFFF" w:val="clear"/>
            <w:vAlign w:val="center"/>
          </w:tcPr>
          <w:p>
            <w:pPr>
              <w:pStyle w:val="TableContents"/>
              <w:bidi w:val="0"/>
              <w:spacing w:before="0" w:after="283"/>
              <w:jc w:val="right"/>
              <w:rPr>
                <w:sz w:val="20"/>
              </w:rPr>
            </w:pPr>
            <w:r>
              <w:rPr>
                <w:sz w:val="20"/>
              </w:rPr>
              <w:t>60,863</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274" w:name="xdx_989_ecustom--VestingOfRestrictedShar"/>
            <w:bookmarkEnd w:id="274"/>
          </w:p>
        </w:tc>
        <w:tc>
          <w:tcPr>
            <w:tcW w:w="1039" w:type="dxa"/>
            <w:tcBorders/>
            <w:shd w:fill="FFFFFF" w:val="clear"/>
            <w:vAlign w:val="center"/>
          </w:tcPr>
          <w:p>
            <w:pPr>
              <w:pStyle w:val="TableContents"/>
              <w:bidi w:val="0"/>
              <w:spacing w:before="0" w:after="283"/>
              <w:jc w:val="right"/>
              <w:rPr>
                <w:sz w:val="20"/>
              </w:rPr>
            </w:pPr>
            <w:r>
              <w:rPr>
                <w:sz w:val="20"/>
              </w:rPr>
              <w:t>2,435</w:t>
            </w:r>
          </w:p>
        </w:tc>
        <w:tc>
          <w:tcPr>
            <w:tcW w:w="92"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sz w:val="20"/>
              </w:rPr>
            </w:pPr>
            <w:r>
              <w:rPr>
                <w:sz w:val="20"/>
              </w:rPr>
              <w:t>Exercise of share options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5" w:name="xdx_983_ecustom--ExerciseOfShareOtionsSh"/>
            <w:bookmarkEnd w:id="275"/>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902,741</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6" w:name="xdx_988_ecustom--ExerciseOfShareOtionsSh"/>
            <w:bookmarkEnd w:id="276"/>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36,110</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sz w:val="20"/>
              </w:rPr>
            </w:pPr>
            <w:r>
              <w:rPr>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7" w:name="xdx_986_eifrs-full--NumberOfSharesOutsta"/>
            <w:bookmarkEnd w:id="277"/>
          </w:p>
        </w:tc>
        <w:tc>
          <w:tcPr>
            <w:tcW w:w="133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40,129,409</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8" w:name="xdx_983_ecustom--NumberOfSharesOutstandi"/>
            <w:bookmarkEnd w:id="278"/>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1,605,177</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279" w:name="xdx_8AB_zzlB3xIEHX8a"/>
      <w:bookmarkEnd w:id="279"/>
      <w:r>
        <w:rPr/>
        <w:t> </w:t>
      </w:r>
    </w:p>
    <w:p>
      <w:pPr>
        <w:pStyle w:val="TextBody"/>
        <w:bidi w:val="0"/>
        <w:ind w:left="499" w:right="0" w:hanging="0"/>
        <w:jc w:val="left"/>
        <w:rPr>
          <w:b/>
          <w:sz w:val="20"/>
        </w:rPr>
      </w:pPr>
      <w:bookmarkStart w:id="280" w:name="xdx_809_eifrs-full--DisclosureOfSharebas"/>
      <w:bookmarkEnd w:id="280"/>
      <w:r>
        <w:rPr>
          <w:b/>
          <w:sz w:val="20"/>
        </w:rPr>
        <w:t xml:space="preserve">NOTE 8: </w:t>
      </w:r>
      <w:bookmarkStart w:id="281" w:name="xdx_828_z3lCdBJ7i277"/>
      <w:bookmarkEnd w:id="281"/>
      <w:r>
        <w:rPr>
          <w:b/>
          <w:sz w:val="20"/>
        </w:rPr>
        <w:t>SHARE BASED PAYMENT</w:t>
      </w:r>
    </w:p>
    <w:p>
      <w:pPr>
        <w:pStyle w:val="TextBody"/>
        <w:bidi w:val="0"/>
        <w:spacing w:before="19" w:after="19"/>
        <w:ind w:left="19" w:right="19"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During the six months periods ended June 30, 2026 and 2025, the Company recorded expenses related to share-based payment plans to employees, directors and consultants of $</w:t>
            </w:r>
            <w:bookmarkStart w:id="282" w:name="xdx_90B_eifrs-full--ExpenseFromSharebase"/>
            <w:bookmarkEnd w:id="282"/>
            <w:r>
              <w:rPr/>
              <w:t>1,008 and $</w:t>
            </w:r>
            <w:bookmarkStart w:id="283" w:name="xdx_901_eifrs-full--ExpenseFromSharebase"/>
            <w:bookmarkEnd w:id="283"/>
            <w:r>
              <w:rPr/>
              <w:t>552, respectively.</w:t>
            </w:r>
          </w:p>
        </w:tc>
      </w:tr>
    </w:tbl>
    <w:p>
      <w:pPr>
        <w:pStyle w:val="TextBody"/>
        <w:bidi w:val="0"/>
        <w:spacing w:before="14" w:after="14"/>
        <w:ind w:left="14" w:right="14"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The following table presents the changes in the number and weighted average exercise prices of share options, and the changes in the number of restricted shares:</w:t>
            </w:r>
          </w:p>
        </w:tc>
      </w:tr>
    </w:tbl>
    <w:p>
      <w:pPr>
        <w:pStyle w:val="TextBody"/>
        <w:bidi w:val="0"/>
        <w:ind w:left="6159" w:right="0" w:hanging="0"/>
        <w:jc w:val="left"/>
        <w:rPr/>
      </w:pPr>
      <w:r>
        <w:rPr/>
        <w:t> </w:t>
      </w:r>
    </w:p>
    <w:p>
      <w:pPr>
        <w:pStyle w:val="Normal"/>
        <w:bidi w:val="0"/>
        <w:spacing w:before="0" w:after="0"/>
        <w:jc w:val="left"/>
        <w:rPr>
          <w:sz w:val="4"/>
          <w:szCs w:val="4"/>
        </w:rPr>
      </w:pPr>
      <w:r>
        <w:rPr>
          <w:sz w:val="4"/>
          <w:szCs w:val="4"/>
        </w:rPr>
      </w:r>
      <w:bookmarkStart w:id="284" w:name="xdx_895_ecustom--DisclosureOfDetailedInf"/>
      <w:bookmarkStart w:id="285" w:name="xdx_895_ecustom--DisclosureOfDetailedInf"/>
      <w:bookmarkEnd w:id="285"/>
    </w:p>
    <w:tbl>
      <w:tblPr>
        <w:tblW w:w="10205" w:type="dxa"/>
        <w:jc w:val="left"/>
        <w:tblInd w:w="0" w:type="dxa"/>
        <w:tblLayout w:type="fixed"/>
        <w:tblCellMar>
          <w:top w:w="0" w:type="dxa"/>
          <w:left w:w="0" w:type="dxa"/>
          <w:bottom w:w="0" w:type="dxa"/>
          <w:right w:w="0" w:type="dxa"/>
        </w:tblCellMar>
      </w:tblPr>
      <w:tblGrid>
        <w:gridCol w:w="3161"/>
        <w:gridCol w:w="60"/>
        <w:gridCol w:w="82"/>
        <w:gridCol w:w="1158"/>
        <w:gridCol w:w="109"/>
        <w:gridCol w:w="60"/>
        <w:gridCol w:w="404"/>
        <w:gridCol w:w="1586"/>
        <w:gridCol w:w="203"/>
        <w:gridCol w:w="60"/>
        <w:gridCol w:w="87"/>
        <w:gridCol w:w="1027"/>
        <w:gridCol w:w="119"/>
        <w:gridCol w:w="60"/>
        <w:gridCol w:w="120"/>
        <w:gridCol w:w="1710"/>
        <w:gridCol w:w="199"/>
      </w:tblGrid>
      <w:tr>
        <w:trPr/>
        <w:tc>
          <w:tcPr>
            <w:tcW w:w="3161" w:type="dxa"/>
            <w:tcBorders/>
            <w:shd w:fill="FFFFFF" w:val="clear"/>
            <w:vAlign w:val="center"/>
          </w:tcPr>
          <w:p>
            <w:pPr>
              <w:pStyle w:val="TableContents"/>
              <w:bidi w:val="0"/>
              <w:spacing w:before="0" w:after="283"/>
              <w:jc w:val="left"/>
              <w:rPr>
                <w:sz w:val="20"/>
              </w:rPr>
            </w:pPr>
            <w:bookmarkStart w:id="286" w:name="xdx_8B2_zZAF7Aifb7H2"/>
            <w:bookmarkEnd w:id="286"/>
            <w:r>
              <w:rPr>
                <w:sz w:val="20"/>
              </w:rPr>
              <w:t>Schedule of share based payment movement of options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3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9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Options</w:t>
            </w:r>
          </w:p>
        </w:tc>
        <w:tc>
          <w:tcPr>
            <w:tcW w:w="60" w:type="dxa"/>
            <w:tcBorders/>
            <w:vAlign w:val="center"/>
          </w:tcPr>
          <w:p>
            <w:pPr>
              <w:pStyle w:val="TableContents"/>
              <w:bidi w:val="0"/>
              <w:spacing w:before="0" w:after="283"/>
              <w:jc w:val="left"/>
              <w:rPr/>
            </w:pPr>
            <w:r>
              <w:rPr/>
              <w:t> </w:t>
            </w:r>
          </w:p>
        </w:tc>
        <w:tc>
          <w:tcPr>
            <w:tcW w:w="123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Restricted shares</w:t>
            </w:r>
          </w:p>
        </w:tc>
        <w:tc>
          <w:tcPr>
            <w:tcW w:w="60" w:type="dxa"/>
            <w:tcBorders/>
            <w:vAlign w:val="center"/>
          </w:tcPr>
          <w:p>
            <w:pPr>
              <w:pStyle w:val="TableContents"/>
              <w:bidi w:val="0"/>
              <w:spacing w:before="0" w:after="283"/>
              <w:jc w:val="left"/>
              <w:rPr/>
            </w:pPr>
            <w:r>
              <w:rPr/>
              <w:t> </w:t>
            </w:r>
          </w:p>
        </w:tc>
        <w:tc>
          <w:tcPr>
            <w:tcW w:w="20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r>
      <w:tr>
        <w:trPr/>
        <w:tc>
          <w:tcPr>
            <w:tcW w:w="3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options</w:t>
            </w:r>
          </w:p>
        </w:tc>
        <w:tc>
          <w:tcPr>
            <w:tcW w:w="60" w:type="dxa"/>
            <w:tcBorders/>
            <w:vAlign w:val="center"/>
          </w:tcPr>
          <w:p>
            <w:pPr>
              <w:pStyle w:val="TableContents"/>
              <w:bidi w:val="0"/>
              <w:spacing w:before="0" w:after="283"/>
              <w:jc w:val="left"/>
              <w:rPr/>
            </w:pPr>
            <w:r>
              <w:rPr/>
              <w:t> </w:t>
            </w:r>
          </w:p>
        </w:tc>
        <w:tc>
          <w:tcPr>
            <w:tcW w:w="2193" w:type="dxa"/>
            <w:gridSpan w:val="3"/>
            <w:tcBorders>
              <w:bottom w:val="single" w:sz="8" w:space="0" w:color="000000"/>
            </w:tcBorders>
            <w:tcMar>
              <w:bottom w:w="28" w:type="dxa"/>
            </w:tcMar>
            <w:vAlign w:val="center"/>
          </w:tcPr>
          <w:p>
            <w:pPr>
              <w:pStyle w:val="TableContents"/>
              <w:bidi w:val="0"/>
              <w:spacing w:before="0" w:after="283"/>
              <w:jc w:val="right"/>
              <w:rPr>
                <w:b/>
                <w:sz w:val="20"/>
              </w:rPr>
            </w:pPr>
            <w:r>
              <w:rPr>
                <w:b/>
                <w:sz w:val="20"/>
              </w:rPr>
              <w:t>Weighted average exercise price (*)</w:t>
            </w:r>
          </w:p>
        </w:tc>
        <w:tc>
          <w:tcPr>
            <w:tcW w:w="60" w:type="dxa"/>
            <w:tcBorders/>
            <w:vAlign w:val="center"/>
          </w:tcPr>
          <w:p>
            <w:pPr>
              <w:pStyle w:val="TableContents"/>
              <w:bidi w:val="0"/>
              <w:spacing w:before="0" w:after="283"/>
              <w:jc w:val="left"/>
              <w:rPr/>
            </w:pPr>
            <w:r>
              <w:rPr/>
              <w:t> </w:t>
            </w:r>
          </w:p>
        </w:tc>
        <w:tc>
          <w:tcPr>
            <w:tcW w:w="123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Number of </w:t>
              <w:br/>
              <w:t>Restricted shares</w:t>
            </w:r>
          </w:p>
        </w:tc>
        <w:tc>
          <w:tcPr>
            <w:tcW w:w="60" w:type="dxa"/>
            <w:tcBorders/>
            <w:vAlign w:val="center"/>
          </w:tcPr>
          <w:p>
            <w:pPr>
              <w:pStyle w:val="TableContents"/>
              <w:bidi w:val="0"/>
              <w:spacing w:before="0" w:after="283"/>
              <w:jc w:val="left"/>
              <w:rPr/>
            </w:pPr>
            <w:r>
              <w:rPr/>
              <w:t> </w:t>
            </w:r>
          </w:p>
        </w:tc>
        <w:tc>
          <w:tcPr>
            <w:tcW w:w="20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share-based awards</w:t>
            </w:r>
          </w:p>
        </w:tc>
      </w:tr>
      <w:tr>
        <w:trPr/>
        <w:tc>
          <w:tcPr>
            <w:tcW w:w="3161" w:type="dxa"/>
            <w:tcBorders/>
            <w:shd w:fill="CCEEFF" w:val="clear"/>
            <w:vAlign w:val="center"/>
          </w:tcPr>
          <w:p>
            <w:pPr>
              <w:pStyle w:val="TableContents"/>
              <w:bidi w:val="0"/>
              <w:spacing w:before="0" w:after="283"/>
              <w:jc w:val="left"/>
              <w:rPr>
                <w:sz w:val="20"/>
              </w:rPr>
            </w:pPr>
            <w:r>
              <w:rPr>
                <w:sz w:val="20"/>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287" w:name="xdx_98D_ecustom--NumberOfOptionOutstandi"/>
            <w:bookmarkEnd w:id="287"/>
          </w:p>
        </w:tc>
        <w:tc>
          <w:tcPr>
            <w:tcW w:w="1158" w:type="dxa"/>
            <w:tcBorders/>
            <w:shd w:fill="CCEEFF" w:val="clear"/>
            <w:vAlign w:val="center"/>
          </w:tcPr>
          <w:p>
            <w:pPr>
              <w:pStyle w:val="TableContents"/>
              <w:bidi w:val="0"/>
              <w:spacing w:before="0" w:after="283"/>
              <w:jc w:val="right"/>
              <w:rPr>
                <w:sz w:val="20"/>
              </w:rPr>
            </w:pPr>
            <w:r>
              <w:rPr>
                <w:sz w:val="20"/>
              </w:rPr>
              <w:t>2,229,113</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sz w:val="20"/>
              </w:rPr>
            </w:pPr>
            <w:r>
              <w:rPr>
                <w:sz w:val="20"/>
              </w:rPr>
              <w:t>$</w:t>
            </w:r>
          </w:p>
        </w:tc>
        <w:tc>
          <w:tcPr>
            <w:tcW w:w="1586" w:type="dxa"/>
            <w:tcBorders/>
            <w:shd w:fill="CCEEFF" w:val="clear"/>
            <w:vAlign w:val="center"/>
          </w:tcPr>
          <w:p>
            <w:pPr>
              <w:pStyle w:val="TableContents"/>
              <w:bidi w:val="0"/>
              <w:spacing w:before="0" w:after="283"/>
              <w:jc w:val="right"/>
              <w:rPr>
                <w:sz w:val="20"/>
              </w:rPr>
            </w:pPr>
            <w:bookmarkStart w:id="288" w:name="xdx_90E_ecustom--WeightedAverageExercise"/>
            <w:bookmarkEnd w:id="288"/>
            <w:r>
              <w:rPr>
                <w:sz w:val="20"/>
              </w:rPr>
              <w:t>3.41</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289" w:name="xdx_984_ecustom--NumberOfRestrictedShare"/>
            <w:bookmarkEnd w:id="289"/>
          </w:p>
        </w:tc>
        <w:tc>
          <w:tcPr>
            <w:tcW w:w="1027" w:type="dxa"/>
            <w:tcBorders/>
            <w:shd w:fill="CCEEFF" w:val="clear"/>
            <w:vAlign w:val="center"/>
          </w:tcPr>
          <w:p>
            <w:pPr>
              <w:pStyle w:val="TableContents"/>
              <w:bidi w:val="0"/>
              <w:spacing w:before="0" w:after="283"/>
              <w:jc w:val="right"/>
              <w:rPr>
                <w:sz w:val="20"/>
              </w:rPr>
            </w:pPr>
            <w:r>
              <w:rPr>
                <w:sz w:val="20"/>
              </w:rPr>
              <w:t>305,476</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290" w:name="xdx_98F_ecustom--ShareBasedAwardsOutstan"/>
            <w:bookmarkEnd w:id="290"/>
          </w:p>
        </w:tc>
        <w:tc>
          <w:tcPr>
            <w:tcW w:w="1710" w:type="dxa"/>
            <w:tcBorders/>
            <w:shd w:fill="CCEEFF" w:val="clear"/>
            <w:vAlign w:val="center"/>
          </w:tcPr>
          <w:p>
            <w:pPr>
              <w:pStyle w:val="TableContents"/>
              <w:bidi w:val="0"/>
              <w:spacing w:before="0" w:after="283"/>
              <w:jc w:val="right"/>
              <w:rPr>
                <w:sz w:val="20"/>
              </w:rPr>
            </w:pPr>
            <w:r>
              <w:rPr>
                <w:sz w:val="20"/>
              </w:rPr>
              <w:t>2,534,589</w:t>
            </w:r>
          </w:p>
        </w:tc>
        <w:tc>
          <w:tcPr>
            <w:tcW w:w="199" w:type="dxa"/>
            <w:tcBorders/>
            <w:shd w:fill="CCEEFF" w:val="clear"/>
            <w:vAlign w:val="center"/>
          </w:tcPr>
          <w:p>
            <w:pPr>
              <w:pStyle w:val="TableContents"/>
              <w:bidi w:val="0"/>
              <w:spacing w:before="0" w:after="283"/>
              <w:jc w:val="left"/>
              <w:rPr/>
            </w:pPr>
            <w:r>
              <w:rPr/>
              <w:t> </w:t>
            </w:r>
          </w:p>
        </w:tc>
      </w:tr>
      <w:tr>
        <w:trPr/>
        <w:tc>
          <w:tcPr>
            <w:tcW w:w="3161"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291" w:name="xdx_983_ecustom--NumberOfOptionsGranted_"/>
            <w:bookmarkEnd w:id="291"/>
          </w:p>
        </w:tc>
        <w:tc>
          <w:tcPr>
            <w:tcW w:w="1158" w:type="dxa"/>
            <w:tcBorders/>
            <w:shd w:fill="FFFFFF" w:val="clear"/>
            <w:vAlign w:val="center"/>
          </w:tcPr>
          <w:p>
            <w:pPr>
              <w:pStyle w:val="TableContents"/>
              <w:bidi w:val="0"/>
              <w:spacing w:before="0" w:after="283"/>
              <w:jc w:val="right"/>
              <w:rPr>
                <w:sz w:val="20"/>
              </w:rPr>
            </w:pPr>
            <w:r>
              <w:rPr>
                <w:sz w:val="20"/>
              </w:rPr>
              <w:t>75,000</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bookmarkStart w:id="292" w:name="xdx_986_ecustom--WeightedAverageExercise"/>
            <w:bookmarkEnd w:id="292"/>
          </w:p>
        </w:tc>
        <w:tc>
          <w:tcPr>
            <w:tcW w:w="1586" w:type="dxa"/>
            <w:tcBorders/>
            <w:shd w:fill="FFFFFF" w:val="clear"/>
            <w:vAlign w:val="center"/>
          </w:tcPr>
          <w:p>
            <w:pPr>
              <w:pStyle w:val="TableContents"/>
              <w:bidi w:val="0"/>
              <w:spacing w:before="0" w:after="283"/>
              <w:jc w:val="right"/>
              <w:rPr>
                <w:sz w:val="20"/>
              </w:rPr>
            </w:pPr>
            <w:r>
              <w:rPr>
                <w:sz w:val="20"/>
              </w:rPr>
              <w:t>10.32</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293" w:name="xdx_987_ecustom--NumberOfRestrictedShare"/>
            <w:bookmarkEnd w:id="293"/>
          </w:p>
        </w:tc>
        <w:tc>
          <w:tcPr>
            <w:tcW w:w="1027" w:type="dxa"/>
            <w:tcBorders/>
            <w:shd w:fill="FFFFFF" w:val="clear"/>
            <w:vAlign w:val="center"/>
          </w:tcPr>
          <w:p>
            <w:pPr>
              <w:pStyle w:val="TableContents"/>
              <w:bidi w:val="0"/>
              <w:spacing w:before="0" w:after="283"/>
              <w:jc w:val="right"/>
              <w:rPr>
                <w:sz w:val="20"/>
              </w:rPr>
            </w:pPr>
            <w:r>
              <w:rPr>
                <w:sz w:val="20"/>
              </w:rPr>
              <w:t>332,500</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294" w:name="xdx_983_ecustom--NumberOfshareBasedAward"/>
            <w:bookmarkEnd w:id="294"/>
          </w:p>
        </w:tc>
        <w:tc>
          <w:tcPr>
            <w:tcW w:w="1710" w:type="dxa"/>
            <w:tcBorders/>
            <w:shd w:fill="FFFFFF" w:val="clear"/>
            <w:vAlign w:val="center"/>
          </w:tcPr>
          <w:p>
            <w:pPr>
              <w:pStyle w:val="TableContents"/>
              <w:bidi w:val="0"/>
              <w:spacing w:before="0" w:after="283"/>
              <w:jc w:val="right"/>
              <w:rPr>
                <w:sz w:val="20"/>
              </w:rPr>
            </w:pPr>
            <w:r>
              <w:rPr>
                <w:sz w:val="20"/>
              </w:rPr>
              <w:t>407,500</w:t>
            </w:r>
          </w:p>
        </w:tc>
        <w:tc>
          <w:tcPr>
            <w:tcW w:w="199" w:type="dxa"/>
            <w:tcBorders/>
            <w:shd w:fill="FFFFFF" w:val="clear"/>
            <w:vAlign w:val="center"/>
          </w:tcPr>
          <w:p>
            <w:pPr>
              <w:pStyle w:val="TableContents"/>
              <w:bidi w:val="0"/>
              <w:spacing w:before="0" w:after="283"/>
              <w:jc w:val="left"/>
              <w:rPr/>
            </w:pPr>
            <w:r>
              <w:rPr/>
              <w:t> </w:t>
            </w:r>
          </w:p>
        </w:tc>
      </w:tr>
      <w:tr>
        <w:trPr/>
        <w:tc>
          <w:tcPr>
            <w:tcW w:w="3161"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295" w:name="xdx_980_ecustom--NumberOfOptionsExercise"/>
            <w:bookmarkEnd w:id="295"/>
          </w:p>
        </w:tc>
        <w:tc>
          <w:tcPr>
            <w:tcW w:w="1158" w:type="dxa"/>
            <w:tcBorders/>
            <w:shd w:fill="CCEEFF" w:val="clear"/>
            <w:vAlign w:val="center"/>
          </w:tcPr>
          <w:p>
            <w:pPr>
              <w:pStyle w:val="TableContents"/>
              <w:bidi w:val="0"/>
              <w:spacing w:before="0" w:after="283"/>
              <w:jc w:val="right"/>
              <w:rPr>
                <w:sz w:val="20"/>
              </w:rPr>
            </w:pPr>
            <w:r>
              <w:rPr>
                <w:sz w:val="20"/>
              </w:rPr>
              <w:t>(902,741</w:t>
            </w:r>
          </w:p>
        </w:tc>
        <w:tc>
          <w:tcPr>
            <w:tcW w:w="10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bookmarkStart w:id="296" w:name="xdx_986_ecustom--WeightedAverageExercise"/>
            <w:bookmarkEnd w:id="296"/>
          </w:p>
        </w:tc>
        <w:tc>
          <w:tcPr>
            <w:tcW w:w="1586" w:type="dxa"/>
            <w:tcBorders/>
            <w:shd w:fill="CCEEFF" w:val="clear"/>
            <w:vAlign w:val="center"/>
          </w:tcPr>
          <w:p>
            <w:pPr>
              <w:pStyle w:val="TableContents"/>
              <w:bidi w:val="0"/>
              <w:spacing w:before="0" w:after="283"/>
              <w:jc w:val="right"/>
              <w:rPr>
                <w:sz w:val="20"/>
              </w:rPr>
            </w:pPr>
            <w:r>
              <w:rPr>
                <w:sz w:val="20"/>
              </w:rPr>
              <w:t>2.10</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297" w:name="xdx_983_ecustom--NumberOfRestrictedShare"/>
            <w:bookmarkEnd w:id="297"/>
          </w:p>
        </w:tc>
        <w:tc>
          <w:tcPr>
            <w:tcW w:w="1027" w:type="dxa"/>
            <w:tcBorders/>
            <w:shd w:fill="CCEEFF" w:val="clear"/>
            <w:vAlign w:val="center"/>
          </w:tcPr>
          <w:p>
            <w:pPr>
              <w:pStyle w:val="TableContents"/>
              <w:bidi w:val="0"/>
              <w:spacing w:before="0" w:after="283"/>
              <w:jc w:val="right"/>
              <w:rPr>
                <w:sz w:val="20"/>
              </w:rPr>
            </w:pPr>
            <w:r>
              <w:rPr>
                <w:sz w:val="20"/>
              </w:rPr>
              <w:t>(60,863</w:t>
            </w:r>
          </w:p>
        </w:tc>
        <w:tc>
          <w:tcPr>
            <w:tcW w:w="11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298" w:name="xdx_98B_ecustom--NumberOfshareBasedAward"/>
            <w:bookmarkEnd w:id="298"/>
          </w:p>
        </w:tc>
        <w:tc>
          <w:tcPr>
            <w:tcW w:w="1710" w:type="dxa"/>
            <w:tcBorders/>
            <w:shd w:fill="CCEEFF" w:val="clear"/>
            <w:vAlign w:val="center"/>
          </w:tcPr>
          <w:p>
            <w:pPr>
              <w:pStyle w:val="TableContents"/>
              <w:bidi w:val="0"/>
              <w:spacing w:before="0" w:after="283"/>
              <w:jc w:val="right"/>
              <w:rPr>
                <w:sz w:val="20"/>
              </w:rPr>
            </w:pPr>
            <w:r>
              <w:rPr>
                <w:sz w:val="20"/>
              </w:rPr>
              <w:t>(963,604</w:t>
            </w:r>
          </w:p>
        </w:tc>
        <w:tc>
          <w:tcPr>
            <w:tcW w:w="199" w:type="dxa"/>
            <w:tcBorders/>
            <w:shd w:fill="CCEEFF" w:val="clear"/>
            <w:vAlign w:val="center"/>
          </w:tcPr>
          <w:p>
            <w:pPr>
              <w:pStyle w:val="TableContents"/>
              <w:bidi w:val="0"/>
              <w:spacing w:before="0" w:after="283"/>
              <w:jc w:val="left"/>
              <w:rPr>
                <w:sz w:val="20"/>
              </w:rPr>
            </w:pPr>
            <w:r>
              <w:rPr>
                <w:sz w:val="20"/>
              </w:rPr>
              <w:t>)</w:t>
            </w:r>
          </w:p>
        </w:tc>
      </w:tr>
      <w:tr>
        <w:trPr/>
        <w:tc>
          <w:tcPr>
            <w:tcW w:w="3161" w:type="dxa"/>
            <w:tcBorders/>
            <w:shd w:fill="FFFFFF" w:val="clear"/>
            <w:vAlign w:val="center"/>
          </w:tcPr>
          <w:p>
            <w:pPr>
              <w:pStyle w:val="TableContents"/>
              <w:bidi w:val="0"/>
              <w:spacing w:before="0" w:after="283"/>
              <w:jc w:val="left"/>
              <w:rPr>
                <w:sz w:val="20"/>
              </w:rPr>
            </w:pPr>
            <w:r>
              <w:rPr>
                <w:sz w:val="20"/>
              </w:rPr>
              <w:t>Expired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299" w:name="xdx_989_ecustom--NumberOfOptionsExpired_"/>
            <w:bookmarkEnd w:id="299"/>
          </w:p>
        </w:tc>
        <w:tc>
          <w:tcPr>
            <w:tcW w:w="1158" w:type="dxa"/>
            <w:tcBorders/>
            <w:shd w:fill="FFFFFF" w:val="clear"/>
            <w:vAlign w:val="center"/>
          </w:tcPr>
          <w:p>
            <w:pPr>
              <w:pStyle w:val="TableContents"/>
              <w:bidi w:val="0"/>
              <w:spacing w:before="0" w:after="283"/>
              <w:jc w:val="right"/>
              <w:rPr>
                <w:sz w:val="20"/>
              </w:rPr>
            </w:pPr>
            <w:r>
              <w:rPr>
                <w:sz w:val="20"/>
              </w:rPr>
              <w:t>(228,672</w:t>
            </w:r>
          </w:p>
        </w:tc>
        <w:tc>
          <w:tcPr>
            <w:tcW w:w="109"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bookmarkStart w:id="300" w:name="xdx_98F_ecustom--WeightedAverageExercise"/>
            <w:bookmarkEnd w:id="300"/>
          </w:p>
        </w:tc>
        <w:tc>
          <w:tcPr>
            <w:tcW w:w="1586" w:type="dxa"/>
            <w:tcBorders/>
            <w:shd w:fill="FFFFFF" w:val="clear"/>
            <w:vAlign w:val="center"/>
          </w:tcPr>
          <w:p>
            <w:pPr>
              <w:pStyle w:val="TableContents"/>
              <w:bidi w:val="0"/>
              <w:spacing w:before="0" w:after="283"/>
              <w:jc w:val="right"/>
              <w:rPr>
                <w:sz w:val="20"/>
              </w:rPr>
            </w:pPr>
            <w:r>
              <w:rPr>
                <w:sz w:val="20"/>
              </w:rPr>
              <w:t>3.73</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301" w:name="xdx_98E_ecustom--NumberOfRestrictedShare"/>
            <w:bookmarkEnd w:id="301"/>
          </w:p>
        </w:tc>
        <w:tc>
          <w:tcPr>
            <w:tcW w:w="1027"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302" w:name="xdx_98C_ecustom--NumberOfshareBasedAward"/>
            <w:bookmarkEnd w:id="302"/>
          </w:p>
        </w:tc>
        <w:tc>
          <w:tcPr>
            <w:tcW w:w="1710" w:type="dxa"/>
            <w:tcBorders/>
            <w:shd w:fill="FFFFFF" w:val="clear"/>
            <w:vAlign w:val="center"/>
          </w:tcPr>
          <w:p>
            <w:pPr>
              <w:pStyle w:val="TableContents"/>
              <w:bidi w:val="0"/>
              <w:spacing w:before="0" w:after="283"/>
              <w:jc w:val="right"/>
              <w:rPr>
                <w:sz w:val="20"/>
              </w:rPr>
            </w:pPr>
            <w:r>
              <w:rPr>
                <w:sz w:val="20"/>
              </w:rPr>
              <w:t>(228,672</w:t>
            </w:r>
          </w:p>
        </w:tc>
        <w:tc>
          <w:tcPr>
            <w:tcW w:w="199" w:type="dxa"/>
            <w:tcBorders/>
            <w:shd w:fill="FFFFFF" w:val="clear"/>
            <w:vAlign w:val="center"/>
          </w:tcPr>
          <w:p>
            <w:pPr>
              <w:pStyle w:val="TableContents"/>
              <w:bidi w:val="0"/>
              <w:spacing w:before="0" w:after="283"/>
              <w:jc w:val="left"/>
              <w:rPr>
                <w:sz w:val="20"/>
              </w:rPr>
            </w:pPr>
            <w:r>
              <w:rPr>
                <w:sz w:val="20"/>
              </w:rPr>
              <w:t>)</w:t>
            </w:r>
          </w:p>
        </w:tc>
      </w:tr>
      <w:tr>
        <w:trPr/>
        <w:tc>
          <w:tcPr>
            <w:tcW w:w="3161" w:type="dxa"/>
            <w:tcBorders/>
            <w:shd w:fill="CCEEFF" w:val="clear"/>
            <w:vAlign w:val="center"/>
          </w:tcPr>
          <w:p>
            <w:pPr>
              <w:pStyle w:val="TableContents"/>
              <w:bidi w:val="0"/>
              <w:spacing w:before="0" w:after="283"/>
              <w:jc w:val="left"/>
              <w:rPr>
                <w:sz w:val="20"/>
              </w:rPr>
            </w:pPr>
            <w:r>
              <w:rPr>
                <w:sz w:val="20"/>
              </w:rPr>
              <w:t>Forfeited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3" w:name="xdx_98B_ecustom--NumberOfOptionsForfeite"/>
            <w:bookmarkEnd w:id="303"/>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(89,375</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4" w:name="xdx_986_ecustom--WeightedAverageExercise"/>
            <w:bookmarkEnd w:id="304"/>
          </w:p>
        </w:tc>
        <w:tc>
          <w:tcPr>
            <w:tcW w:w="15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4.82</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5" w:name="xdx_98A_ecustom--NumberOfRestrictedShare"/>
            <w:bookmarkEnd w:id="305"/>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(5,113</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6" w:name="xdx_98E_ecustom--NumberOfShareBasedAward"/>
            <w:bookmarkEnd w:id="306"/>
          </w:p>
        </w:tc>
        <w:tc>
          <w:tcPr>
            <w:tcW w:w="17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(94,488</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161" w:type="dxa"/>
            <w:tcBorders/>
            <w:shd w:fill="FFFFFF" w:val="clear"/>
            <w:vAlign w:val="center"/>
          </w:tcPr>
          <w:p>
            <w:pPr>
              <w:pStyle w:val="TableContents"/>
              <w:bidi w:val="0"/>
              <w:spacing w:before="0" w:after="283"/>
              <w:jc w:val="left"/>
              <w:rPr>
                <w:sz w:val="20"/>
              </w:rPr>
            </w:pPr>
            <w:r>
              <w:rPr>
                <w:sz w:val="20"/>
              </w:rPr>
              <w:t>Outstanding at June 30, 2026</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7" w:name="xdx_98C_ecustom--NumberOfOptionsOutstand"/>
            <w:bookmarkEnd w:id="307"/>
          </w:p>
        </w:tc>
        <w:tc>
          <w:tcPr>
            <w:tcW w:w="115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1,083,325</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08" w:name="xdx_982_ecustom--WeightedAverageExercise"/>
            <w:bookmarkEnd w:id="308"/>
          </w:p>
        </w:tc>
        <w:tc>
          <w:tcPr>
            <w:tcW w:w="158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4.38</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9" w:name="xdx_98D_ecustom--NumberOfRestrictedShare"/>
            <w:bookmarkEnd w:id="309"/>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572,000</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0" w:name="xdx_982_ecustom--ShareBasedAwardsOutstan"/>
            <w:bookmarkEnd w:id="310"/>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1,655,325</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161" w:type="dxa"/>
            <w:tcBorders/>
            <w:shd w:fill="CCEEFF" w:val="clear"/>
            <w:vAlign w:val="center"/>
          </w:tcPr>
          <w:p>
            <w:pPr>
              <w:pStyle w:val="TableContents"/>
              <w:bidi w:val="0"/>
              <w:spacing w:before="0" w:after="283"/>
              <w:jc w:val="left"/>
              <w:rPr>
                <w:sz w:val="20"/>
              </w:rPr>
            </w:pPr>
            <w:r>
              <w:rPr>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11" w:name="xdx_987_ecustom--NumberOfOptionsExercisa"/>
            <w:bookmarkEnd w:id="311"/>
          </w:p>
        </w:tc>
        <w:tc>
          <w:tcPr>
            <w:tcW w:w="115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434,881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312" w:name="xdx_988_ecustom--WeightedAverageExercise"/>
            <w:bookmarkEnd w:id="312"/>
          </w:p>
        </w:tc>
        <w:tc>
          <w:tcPr>
            <w:tcW w:w="158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4.09</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13" w:name="xdx_989_ecustom--NumberOfRestrictedShare"/>
            <w:bookmarkEnd w:id="313"/>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14" w:name="xdx_980_ecustom--NumberOfshareBasedAward"/>
            <w:bookmarkEnd w:id="314"/>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434,881</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155" w:after="155"/>
        <w:ind w:left="499" w:right="155" w:hanging="0"/>
        <w:jc w:val="left"/>
        <w:rPr>
          <w:sz w:val="20"/>
        </w:rPr>
      </w:pPr>
      <w:r>
        <w:rPr>
          <w:sz w:val="20"/>
        </w:rPr>
        <w:t>(*) The exercise price of all options is denominated in NIS and was translated to USD in the table above using the exchange rate as of June 30, 2026.</w:t>
      </w:r>
    </w:p>
    <w:p>
      <w:pPr>
        <w:pStyle w:val="TextBody"/>
        <w:bidi w:val="0"/>
        <w:spacing w:before="14" w:after="14"/>
        <w:ind w:left="14" w:right="14" w:hanging="0"/>
        <w:jc w:val="left"/>
        <w:rPr/>
      </w:pPr>
      <w:bookmarkStart w:id="315" w:name="xdx_8A7_z69z3tbEFWA"/>
      <w:bookmarkEnd w:id="315"/>
      <w:r>
        <w:rPr/>
        <w:t> </w:t>
      </w:r>
    </w:p>
    <w:p>
      <w:pPr>
        <w:pStyle w:val="TextBody"/>
        <w:bidi w:val="0"/>
        <w:ind w:left="690" w:right="0" w:hanging="0"/>
        <w:jc w:val="left"/>
        <w:rPr>
          <w:sz w:val="20"/>
        </w:rPr>
      </w:pPr>
      <w:r>
        <w:rPr>
          <w:sz w:val="20"/>
        </w:rPr>
        <w:t>The weighted average fair value of the Company’s options granted for the six months ended June 30, 2026 was estimated at $</w:t>
      </w:r>
      <w:bookmarkStart w:id="316" w:name="xdx_901_ecustom--WeightedAverageFairValu"/>
      <w:bookmarkEnd w:id="316"/>
      <w:r>
        <w:rPr>
          <w:sz w:val="20"/>
        </w:rPr>
        <w:t>10.32 using the following assumptions:</w:t>
      </w:r>
    </w:p>
    <w:p>
      <w:pPr>
        <w:pStyle w:val="TextBody"/>
        <w:bidi w:val="0"/>
        <w:spacing w:before="14" w:after="14"/>
        <w:ind w:left="14" w:right="14" w:hanging="0"/>
        <w:jc w:val="left"/>
        <w:rPr/>
      </w:pPr>
      <w:r>
        <w:rPr/>
        <w:t> </w:t>
      </w:r>
    </w:p>
    <w:tbl>
      <w:tblPr>
        <w:tblW w:w="3018" w:type="dxa"/>
        <w:jc w:val="left"/>
        <w:tblInd w:w="0" w:type="dxa"/>
        <w:tblLayout w:type="fixed"/>
        <w:tblCellMar>
          <w:top w:w="0" w:type="dxa"/>
          <w:left w:w="0" w:type="dxa"/>
          <w:bottom w:w="0" w:type="dxa"/>
          <w:right w:w="0" w:type="dxa"/>
        </w:tblCellMar>
      </w:tblPr>
      <w:tblGrid>
        <w:gridCol w:w="38"/>
        <w:gridCol w:w="12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 xml:space="preserve">Expected volatility of </w:t>
            </w:r>
            <w:bookmarkStart w:id="317" w:name="xdx_904_eifrs-full--DescriptionOfExpecte"/>
            <w:bookmarkEnd w:id="317"/>
            <w:r>
              <w:rPr/>
              <w:t>49.90%</w:t>
            </w:r>
          </w:p>
        </w:tc>
      </w:tr>
    </w:tbl>
    <w:p>
      <w:pPr>
        <w:pStyle w:val="TextBody"/>
        <w:bidi w:val="0"/>
        <w:spacing w:before="4" w:after="4"/>
        <w:ind w:left="4" w:right="4" w:hanging="0"/>
        <w:jc w:val="left"/>
        <w:rPr/>
      </w:pPr>
      <w:r>
        <w:rPr/>
        <w:t> </w:t>
      </w:r>
    </w:p>
    <w:tbl>
      <w:tblPr>
        <w:tblW w:w="3138" w:type="dxa"/>
        <w:jc w:val="left"/>
        <w:tblInd w:w="0" w:type="dxa"/>
        <w:tblLayout w:type="fixed"/>
        <w:tblCellMar>
          <w:top w:w="0" w:type="dxa"/>
          <w:left w:w="0" w:type="dxa"/>
          <w:bottom w:w="0" w:type="dxa"/>
          <w:right w:w="0" w:type="dxa"/>
        </w:tblCellMar>
      </w:tblPr>
      <w:tblGrid>
        <w:gridCol w:w="38"/>
        <w:gridCol w:w="125"/>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75" w:type="dxa"/>
            <w:tcBorders/>
            <w:vAlign w:val="center"/>
          </w:tcPr>
          <w:p>
            <w:pPr>
              <w:pStyle w:val="TableContents"/>
              <w:bidi w:val="0"/>
              <w:spacing w:before="0" w:after="283"/>
              <w:jc w:val="left"/>
              <w:rPr/>
            </w:pPr>
            <w:r>
              <w:rPr/>
              <w:t xml:space="preserve">Risk-free interest rate of </w:t>
            </w:r>
            <w:bookmarkStart w:id="318" w:name="xdx_90F_eifrs-full--DescriptionOfRiskFre"/>
            <w:bookmarkEnd w:id="318"/>
            <w:r>
              <w:rPr/>
              <w:t>3.83%</w:t>
            </w:r>
          </w:p>
        </w:tc>
      </w:tr>
    </w:tbl>
    <w:p>
      <w:pPr>
        <w:pStyle w:val="TextBody"/>
        <w:bidi w:val="0"/>
        <w:spacing w:before="87" w:after="87"/>
        <w:ind w:left="87" w:right="87"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1"/>
        <w:ind w:left="499" w:right="1" w:hanging="0"/>
        <w:jc w:val="left"/>
        <w:rPr>
          <w:b/>
          <w:sz w:val="20"/>
        </w:rPr>
      </w:pPr>
      <w:bookmarkStart w:id="319" w:name="xdx_80C_ecustom--DisclosureOfAdditionalI"/>
      <w:bookmarkStart w:id="320" w:name="xdx_23F_zKW2theAp28i"/>
      <w:bookmarkEnd w:id="319"/>
      <w:bookmarkEnd w:id="320"/>
      <w:r>
        <w:rPr>
          <w:b/>
          <w:sz w:val="20"/>
        </w:rPr>
        <w:t xml:space="preserve">NOTE 9: </w:t>
      </w:r>
      <w:bookmarkStart w:id="321" w:name="xdx_820_zSszZZk2KqJe"/>
      <w:bookmarkEnd w:id="321"/>
      <w:r>
        <w:rPr>
          <w:b/>
          <w:sz w:val="20"/>
        </w:rPr>
        <w:t>ADDITIONAL INFORMATION TO THE STATEMENTS OF COMPREHENSIVE INCOME</w:t>
      </w:r>
    </w:p>
    <w:p>
      <w:pPr>
        <w:pStyle w:val="TextBody"/>
        <w:bidi w:val="0"/>
        <w:spacing w:before="24" w:after="24"/>
        <w:ind w:left="24" w:right="24" w:hanging="0"/>
        <w:jc w:val="left"/>
        <w:rPr/>
      </w:pPr>
      <w:r>
        <w:rPr/>
        <w:t> </w:t>
      </w:r>
    </w:p>
    <w:tbl>
      <w:tblPr>
        <w:tblW w:w="1248" w:type="dxa"/>
        <w:jc w:val="left"/>
        <w:tblInd w:w="0" w:type="dxa"/>
        <w:tblLayout w:type="fixed"/>
        <w:tblCellMar>
          <w:top w:w="0" w:type="dxa"/>
          <w:left w:w="0" w:type="dxa"/>
          <w:bottom w:w="0" w:type="dxa"/>
          <w:right w:w="0" w:type="dxa"/>
        </w:tblCellMar>
      </w:tblPr>
      <w:tblGrid>
        <w:gridCol w:w="38"/>
        <w:gridCol w:w="185"/>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1025" w:type="dxa"/>
            <w:tcBorders/>
            <w:vAlign w:val="center"/>
          </w:tcPr>
          <w:p>
            <w:pPr>
              <w:pStyle w:val="TableContents"/>
              <w:bidi w:val="0"/>
              <w:spacing w:before="0" w:after="283"/>
              <w:jc w:val="left"/>
              <w:rPr/>
            </w:pPr>
            <w:r>
              <w:rPr/>
              <w:t>Revenues:</w:t>
            </w:r>
          </w:p>
        </w:tc>
      </w:tr>
    </w:tbl>
    <w:p>
      <w:pPr>
        <w:pStyle w:val="TextBody"/>
        <w:bidi w:val="0"/>
        <w:spacing w:before="14" w:after="14"/>
        <w:ind w:left="14" w:right="14" w:hanging="0"/>
        <w:jc w:val="left"/>
        <w:rPr/>
      </w:pPr>
      <w:r>
        <w:rPr/>
        <w:t> </w:t>
      </w:r>
    </w:p>
    <w:tbl>
      <w:tblPr>
        <w:tblW w:w="9063" w:type="dxa"/>
        <w:jc w:val="left"/>
        <w:tblInd w:w="0" w:type="dxa"/>
        <w:tblLayout w:type="fixed"/>
        <w:tblCellMar>
          <w:top w:w="0" w:type="dxa"/>
          <w:left w:w="0" w:type="dxa"/>
          <w:bottom w:w="0" w:type="dxa"/>
          <w:right w:w="0" w:type="dxa"/>
        </w:tblCellMar>
      </w:tblPr>
      <w:tblGrid>
        <w:gridCol w:w="38"/>
        <w:gridCol w:w="20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825" w:type="dxa"/>
            <w:tcBorders/>
            <w:vAlign w:val="center"/>
          </w:tcPr>
          <w:p>
            <w:pPr>
              <w:pStyle w:val="TableContents"/>
              <w:bidi w:val="0"/>
              <w:spacing w:before="0" w:after="283"/>
              <w:jc w:val="left"/>
              <w:rPr/>
            </w:pPr>
            <w:r>
              <w:rPr/>
              <w:t>Revenues reported in the financial statements for each group of similar products and services:</w:t>
            </w:r>
          </w:p>
        </w:tc>
      </w:tr>
    </w:tbl>
    <w:p>
      <w:pPr>
        <w:pStyle w:val="Normal"/>
        <w:bidi w:val="0"/>
        <w:spacing w:before="0" w:after="0"/>
        <w:ind w:left="119" w:right="119" w:hanging="0"/>
        <w:jc w:val="left"/>
        <w:rPr>
          <w:sz w:val="4"/>
          <w:szCs w:val="4"/>
        </w:rPr>
      </w:pPr>
      <w:r>
        <w:rPr>
          <w:sz w:val="4"/>
          <w:szCs w:val="4"/>
        </w:rPr>
      </w:r>
      <w:bookmarkStart w:id="322" w:name="xdx_899_ecustom--DisclosureOfDetailedInf"/>
      <w:bookmarkStart w:id="323" w:name="xdx_899_ecustom--DisclosureOfDetailedInf"/>
      <w:bookmarkEnd w:id="323"/>
    </w:p>
    <w:tbl>
      <w:tblPr>
        <w:tblW w:w="6217" w:type="dxa"/>
        <w:jc w:val="left"/>
        <w:tblInd w:w="0" w:type="dxa"/>
        <w:tblLayout w:type="fixed"/>
        <w:tblCellMar>
          <w:top w:w="0" w:type="dxa"/>
          <w:left w:w="0" w:type="dxa"/>
          <w:bottom w:w="0" w:type="dxa"/>
          <w:right w:w="0" w:type="dxa"/>
        </w:tblCellMar>
      </w:tblPr>
      <w:tblGrid>
        <w:gridCol w:w="3905"/>
        <w:gridCol w:w="60"/>
        <w:gridCol w:w="173"/>
        <w:gridCol w:w="818"/>
        <w:gridCol w:w="83"/>
        <w:gridCol w:w="83"/>
        <w:gridCol w:w="173"/>
        <w:gridCol w:w="818"/>
        <w:gridCol w:w="104"/>
      </w:tblGrid>
      <w:tr>
        <w:trPr/>
        <w:tc>
          <w:tcPr>
            <w:tcW w:w="3905" w:type="dxa"/>
            <w:tcBorders/>
            <w:shd w:fill="FFFFFF" w:val="clear"/>
            <w:vAlign w:val="center"/>
          </w:tcPr>
          <w:p>
            <w:pPr>
              <w:pStyle w:val="TableContents"/>
              <w:bidi w:val="0"/>
              <w:spacing w:before="0" w:after="283"/>
              <w:jc w:val="left"/>
              <w:rPr>
                <w:sz w:val="20"/>
              </w:rPr>
            </w:pPr>
            <w:bookmarkStart w:id="324" w:name="xdx_8B0_zHAQnWIJFrW4"/>
            <w:bookmarkEnd w:id="324"/>
            <w:r>
              <w:rPr>
                <w:sz w:val="20"/>
              </w:rPr>
              <w:t>Schedule of additional information on revenues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325" w:name="xdx_491_20260101__20260630_zbg0LPUYMBZ9"/>
            <w:bookmarkEnd w:id="325"/>
          </w:p>
        </w:tc>
        <w:tc>
          <w:tcPr>
            <w:tcW w:w="818"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326" w:name="xdx_497_20250101__20250630_zDBcp4YqK00h"/>
            <w:bookmarkEnd w:id="326"/>
          </w:p>
        </w:tc>
        <w:tc>
          <w:tcPr>
            <w:tcW w:w="81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3" w:type="dxa"/>
            <w:tcBorders/>
            <w:vAlign w:val="center"/>
          </w:tcPr>
          <w:p>
            <w:pPr>
              <w:pStyle w:val="TableContents"/>
              <w:bidi w:val="0"/>
              <w:spacing w:before="0" w:after="283"/>
              <w:jc w:val="left"/>
              <w:rPr/>
            </w:pPr>
            <w:r>
              <w:rPr/>
              <w:t> </w:t>
            </w:r>
          </w:p>
        </w:tc>
        <w:tc>
          <w:tcPr>
            <w:tcW w:w="10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bookmarkStart w:id="327" w:name="xdx_408_ecustom--RevenuesFromSale_zYdKYh"/>
            <w:bookmarkEnd w:id="327"/>
          </w:p>
        </w:tc>
      </w:tr>
      <w:tr>
        <w:trPr/>
        <w:tc>
          <w:tcPr>
            <w:tcW w:w="3905" w:type="dxa"/>
            <w:tcBorders/>
            <w:shd w:fill="CCEEFF" w:val="clear"/>
            <w:vAlign w:val="center"/>
          </w:tcPr>
          <w:p>
            <w:pPr>
              <w:pStyle w:val="TableContents"/>
              <w:bidi w:val="0"/>
              <w:spacing w:before="0" w:after="283"/>
              <w:jc w:val="left"/>
              <w:rPr>
                <w:sz w:val="20"/>
              </w:rPr>
            </w:pPr>
            <w:r>
              <w:rPr>
                <w:sz w:val="20"/>
              </w:rPr>
              <w:t>Revenues from sale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20"/>
              </w:rPr>
            </w:pPr>
            <w:r>
              <w:rPr>
                <w:sz w:val="20"/>
              </w:rPr>
              <w:t>$</w:t>
            </w:r>
          </w:p>
        </w:tc>
        <w:tc>
          <w:tcPr>
            <w:tcW w:w="818" w:type="dxa"/>
            <w:tcBorders/>
            <w:shd w:fill="CCEEFF" w:val="clear"/>
            <w:vAlign w:val="center"/>
          </w:tcPr>
          <w:p>
            <w:pPr>
              <w:pStyle w:val="TableContents"/>
              <w:bidi w:val="0"/>
              <w:spacing w:before="0" w:after="283"/>
              <w:jc w:val="right"/>
              <w:rPr>
                <w:sz w:val="20"/>
              </w:rPr>
            </w:pPr>
            <w:r>
              <w:rPr>
                <w:sz w:val="20"/>
              </w:rPr>
              <w:t>23,393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20"/>
              </w:rPr>
            </w:pPr>
            <w:r>
              <w:rPr>
                <w:sz w:val="20"/>
              </w:rPr>
              <w:t>$</w:t>
            </w:r>
          </w:p>
        </w:tc>
        <w:tc>
          <w:tcPr>
            <w:tcW w:w="818" w:type="dxa"/>
            <w:tcBorders/>
            <w:shd w:fill="CCEEFF" w:val="clear"/>
            <w:vAlign w:val="center"/>
          </w:tcPr>
          <w:p>
            <w:pPr>
              <w:pStyle w:val="TableContents"/>
              <w:bidi w:val="0"/>
              <w:spacing w:before="0" w:after="283"/>
              <w:jc w:val="right"/>
              <w:rPr>
                <w:sz w:val="20"/>
              </w:rPr>
            </w:pPr>
            <w:r>
              <w:rPr>
                <w:sz w:val="20"/>
              </w:rPr>
              <w:t>15,740</w:t>
            </w:r>
          </w:p>
        </w:tc>
        <w:tc>
          <w:tcPr>
            <w:tcW w:w="104" w:type="dxa"/>
            <w:tcBorders/>
            <w:shd w:fill="CCEEFF" w:val="clear"/>
            <w:vAlign w:val="center"/>
          </w:tcPr>
          <w:p>
            <w:pPr>
              <w:pStyle w:val="TableContents"/>
              <w:bidi w:val="0"/>
              <w:spacing w:before="0" w:after="283"/>
              <w:jc w:val="left"/>
              <w:rPr/>
            </w:pPr>
            <w:r>
              <w:rPr/>
              <w:t> </w:t>
            </w:r>
            <w:bookmarkStart w:id="328" w:name="xdx_409_ecustom--RevenuesFromLease_zFCF3"/>
            <w:bookmarkEnd w:id="328"/>
          </w:p>
        </w:tc>
      </w:tr>
      <w:tr>
        <w:trPr/>
        <w:tc>
          <w:tcPr>
            <w:tcW w:w="3905" w:type="dxa"/>
            <w:tcBorders/>
            <w:shd w:fill="FFFFFF" w:val="clear"/>
            <w:vAlign w:val="center"/>
          </w:tcPr>
          <w:p>
            <w:pPr>
              <w:pStyle w:val="TableContents"/>
              <w:bidi w:val="0"/>
              <w:spacing w:before="0" w:after="283"/>
              <w:jc w:val="left"/>
              <w:rPr>
                <w:sz w:val="20"/>
              </w:rPr>
            </w:pPr>
            <w:r>
              <w:rPr>
                <w:sz w:val="20"/>
              </w:rPr>
              <w:t>Revenues from lease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6,775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5,868</w:t>
            </w:r>
          </w:p>
        </w:tc>
        <w:tc>
          <w:tcPr>
            <w:tcW w:w="104" w:type="dxa"/>
            <w:tcBorders/>
            <w:shd w:fill="FFFFFF" w:val="clear"/>
            <w:vAlign w:val="center"/>
          </w:tcPr>
          <w:p>
            <w:pPr>
              <w:pStyle w:val="TableContents"/>
              <w:bidi w:val="0"/>
              <w:spacing w:before="0" w:after="283"/>
              <w:jc w:val="left"/>
              <w:rPr/>
            </w:pPr>
            <w:r>
              <w:rPr/>
              <w:t> </w:t>
            </w:r>
            <w:bookmarkStart w:id="329" w:name="xdx_400_ecustom--RevenuesFromSaleRelated"/>
            <w:bookmarkEnd w:id="329"/>
          </w:p>
        </w:tc>
      </w:tr>
      <w:tr>
        <w:trPr/>
        <w:tc>
          <w:tcPr>
            <w:tcW w:w="3905" w:type="dxa"/>
            <w:tcBorders/>
            <w:shd w:fill="CCEEFF" w:val="clear"/>
            <w:vAlign w:val="center"/>
          </w:tcPr>
          <w:p>
            <w:pPr>
              <w:pStyle w:val="TableContents"/>
              <w:bidi w:val="0"/>
              <w:spacing w:before="0" w:after="283"/>
              <w:jc w:val="left"/>
              <w:rPr>
                <w:sz w:val="20"/>
              </w:rPr>
            </w:pPr>
            <w:r>
              <w:rPr>
                <w:sz w:val="20"/>
              </w:rPr>
              <w:t>Revenues from sale related service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1,719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2,042</w:t>
            </w:r>
          </w:p>
        </w:tc>
        <w:tc>
          <w:tcPr>
            <w:tcW w:w="104" w:type="dxa"/>
            <w:tcBorders/>
            <w:shd w:fill="CCEEFF" w:val="clear"/>
            <w:vAlign w:val="center"/>
          </w:tcPr>
          <w:p>
            <w:pPr>
              <w:pStyle w:val="TableContents"/>
              <w:bidi w:val="0"/>
              <w:spacing w:before="0" w:after="283"/>
              <w:jc w:val="left"/>
              <w:rPr/>
            </w:pPr>
            <w:r>
              <w:rPr/>
              <w:t> </w:t>
            </w:r>
            <w:bookmarkStart w:id="330" w:name="xdx_406_ecustom--RevenuesFromOtherServic"/>
            <w:bookmarkEnd w:id="330"/>
          </w:p>
        </w:tc>
      </w:tr>
      <w:tr>
        <w:trPr/>
        <w:tc>
          <w:tcPr>
            <w:tcW w:w="3905" w:type="dxa"/>
            <w:tcBorders/>
            <w:shd w:fill="FFFFFF" w:val="clear"/>
            <w:vAlign w:val="center"/>
          </w:tcPr>
          <w:p>
            <w:pPr>
              <w:pStyle w:val="TableContents"/>
              <w:bidi w:val="0"/>
              <w:spacing w:before="0" w:after="283"/>
              <w:jc w:val="left"/>
              <w:rPr>
                <w:sz w:val="20"/>
              </w:rPr>
            </w:pPr>
            <w:r>
              <w:rPr>
                <w:sz w:val="20"/>
              </w:rPr>
              <w:t>Revenues from other service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751</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518</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1" w:name="xdx_409_eifrs-full--Revenue_i_pn3n3"/>
            <w:bookmarkEnd w:id="331"/>
          </w:p>
        </w:tc>
      </w:tr>
      <w:tr>
        <w:trPr/>
        <w:tc>
          <w:tcPr>
            <w:tcW w:w="390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32,638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24,168</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332" w:name="xdx_8AE_zyR5mIdeLhn8"/>
      <w:bookmarkEnd w:id="332"/>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283"/>
              <w:jc w:val="left"/>
              <w:rPr/>
            </w:pPr>
            <w:r>
              <w:rPr/>
              <w:t>Revenues from major customers, each accounting for 10% or more of total revenues reported in the financial statements:</w:t>
            </w:r>
          </w:p>
        </w:tc>
      </w:tr>
    </w:tbl>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333" w:name="xdx_89C_ecustom--DisclosureOfRevenuesFro"/>
      <w:bookmarkStart w:id="334" w:name="xdx_89C_ecustom--DisclosureOfRevenuesFro"/>
      <w:bookmarkEnd w:id="334"/>
    </w:p>
    <w:tbl>
      <w:tblPr>
        <w:tblW w:w="7073" w:type="dxa"/>
        <w:jc w:val="left"/>
        <w:tblInd w:w="0" w:type="dxa"/>
        <w:tblLayout w:type="fixed"/>
        <w:tblCellMar>
          <w:top w:w="0" w:type="dxa"/>
          <w:left w:w="0" w:type="dxa"/>
          <w:bottom w:w="0" w:type="dxa"/>
          <w:right w:w="0" w:type="dxa"/>
        </w:tblCellMar>
      </w:tblPr>
      <w:tblGrid>
        <w:gridCol w:w="4265"/>
        <w:gridCol w:w="60"/>
        <w:gridCol w:w="144"/>
        <w:gridCol w:w="624"/>
        <w:gridCol w:w="516"/>
        <w:gridCol w:w="144"/>
        <w:gridCol w:w="144"/>
        <w:gridCol w:w="624"/>
        <w:gridCol w:w="552"/>
      </w:tblGrid>
      <w:tr>
        <w:trPr/>
        <w:tc>
          <w:tcPr>
            <w:tcW w:w="4265" w:type="dxa"/>
            <w:tcBorders/>
            <w:vAlign w:val="center"/>
          </w:tcPr>
          <w:p>
            <w:pPr>
              <w:pStyle w:val="TableContents"/>
              <w:bidi w:val="0"/>
              <w:spacing w:before="0" w:after="283"/>
              <w:jc w:val="left"/>
              <w:rPr/>
            </w:pPr>
            <w:bookmarkStart w:id="335" w:name="xdx_8BD_zrX79vryCRCh"/>
            <w:bookmarkEnd w:id="335"/>
            <w:r>
              <w:rPr/>
              <w:t>Schedule of Revenues from major customers</w:t>
            </w:r>
          </w:p>
        </w:tc>
        <w:tc>
          <w:tcPr>
            <w:tcW w:w="60" w:type="dxa"/>
            <w:tcBorders/>
            <w:vAlign w:val="center"/>
          </w:tcPr>
          <w:p>
            <w:pPr>
              <w:pStyle w:val="TableContents"/>
              <w:bidi w:val="0"/>
              <w:spacing w:before="0" w:after="283"/>
              <w:jc w:val="left"/>
              <w:rPr/>
            </w:pPr>
            <w:r>
              <w:rPr/>
              <w:t> </w:t>
            </w:r>
          </w:p>
        </w:tc>
        <w:tc>
          <w:tcPr>
            <w:tcW w:w="1284" w:type="dxa"/>
            <w:gridSpan w:val="3"/>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left"/>
              <w:rPr/>
            </w:pPr>
            <w:r>
              <w:rPr/>
              <w:t> </w:t>
            </w:r>
          </w:p>
        </w:tc>
        <w:tc>
          <w:tcPr>
            <w:tcW w:w="1320" w:type="dxa"/>
            <w:gridSpan w:val="3"/>
            <w:tcBorders/>
            <w:vAlign w:val="center"/>
          </w:tcPr>
          <w:p>
            <w:pPr>
              <w:pStyle w:val="TableContents"/>
              <w:bidi w:val="0"/>
              <w:spacing w:before="0" w:after="283"/>
              <w:jc w:val="center"/>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13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426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bookmarkStart w:id="336" w:name="xdx_98B_ecustom--PercentageOfRevenue_pip"/>
            <w:bookmarkEnd w:id="336"/>
          </w:p>
        </w:tc>
        <w:tc>
          <w:tcPr>
            <w:tcW w:w="624" w:type="dxa"/>
            <w:tcBorders/>
            <w:shd w:fill="CCEEFF" w:val="clear"/>
            <w:vAlign w:val="center"/>
          </w:tcPr>
          <w:p>
            <w:pPr>
              <w:pStyle w:val="TableContents"/>
              <w:bidi w:val="0"/>
              <w:spacing w:before="0" w:after="283"/>
              <w:jc w:val="right"/>
              <w:rPr/>
            </w:pPr>
            <w:r>
              <w:rPr/>
              <w:t>27</w:t>
            </w:r>
          </w:p>
        </w:tc>
        <w:tc>
          <w:tcPr>
            <w:tcW w:w="516"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bookmarkStart w:id="337" w:name="xdx_98F_ecustom--PercentageOfRevenue_pip"/>
            <w:bookmarkEnd w:id="337"/>
          </w:p>
        </w:tc>
        <w:tc>
          <w:tcPr>
            <w:tcW w:w="624" w:type="dxa"/>
            <w:tcBorders/>
            <w:shd w:fill="CCEEFF" w:val="clear"/>
            <w:vAlign w:val="center"/>
          </w:tcPr>
          <w:p>
            <w:pPr>
              <w:pStyle w:val="TableContents"/>
              <w:bidi w:val="0"/>
              <w:spacing w:before="0" w:after="283"/>
              <w:jc w:val="right"/>
              <w:rPr/>
            </w:pPr>
            <w:r>
              <w:rPr/>
              <w:t>31</w:t>
            </w:r>
          </w:p>
        </w:tc>
        <w:tc>
          <w:tcPr>
            <w:tcW w:w="55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bookmarkStart w:id="338" w:name="xdx_8A5_ztVw13gIPGJ4"/>
      <w:bookmarkEnd w:id="338"/>
      <w:r>
        <w:rPr/>
        <w:t> </w:t>
      </w:r>
    </w:p>
    <w:p>
      <w:pPr>
        <w:pStyle w:val="TextBody"/>
        <w:bidi w:val="0"/>
        <w:spacing w:before="1" w:after="1"/>
        <w:ind w:left="916" w:right="1" w:hanging="0"/>
        <w:jc w:val="left"/>
        <w:rPr>
          <w:i/>
          <w:sz w:val="20"/>
        </w:rPr>
      </w:pPr>
      <w:r>
        <w:rPr>
          <w:i/>
          <w:sz w:val="20"/>
        </w:rPr>
        <w:t>Geographic information:</w:t>
      </w:r>
    </w:p>
    <w:p>
      <w:pPr>
        <w:pStyle w:val="TextBody"/>
        <w:bidi w:val="0"/>
        <w:spacing w:before="13" w:after="13"/>
        <w:ind w:left="13" w:right="13" w:hanging="0"/>
        <w:jc w:val="left"/>
        <w:rPr/>
      </w:pPr>
      <w:r>
        <w:rPr/>
        <w:t> </w:t>
      </w:r>
    </w:p>
    <w:p>
      <w:pPr>
        <w:pStyle w:val="TextBody"/>
        <w:bidi w:val="0"/>
        <w:spacing w:before="1" w:after="1"/>
        <w:ind w:left="916" w:right="1" w:hanging="0"/>
        <w:jc w:val="left"/>
        <w:rPr>
          <w:sz w:val="20"/>
        </w:rPr>
      </w:pPr>
      <w:r>
        <w:rPr>
          <w:sz w:val="20"/>
        </w:rPr>
        <w:t>Revenues reported in the financial statements based on the location of the customers are as follows:</w:t>
      </w:r>
    </w:p>
    <w:p>
      <w:pPr>
        <w:pStyle w:val="Normal"/>
        <w:bidi w:val="0"/>
        <w:spacing w:before="0" w:after="0"/>
        <w:ind w:left="7262" w:right="0" w:hanging="0"/>
        <w:jc w:val="left"/>
        <w:rPr>
          <w:sz w:val="4"/>
          <w:szCs w:val="4"/>
        </w:rPr>
      </w:pPr>
      <w:r>
        <w:rPr>
          <w:sz w:val="4"/>
          <w:szCs w:val="4"/>
        </w:rPr>
      </w:r>
      <w:bookmarkStart w:id="339" w:name="xdx_890_ecustom--DisclosureOfGeographicI"/>
      <w:bookmarkStart w:id="340" w:name="xdx_890_ecustom--DisclosureOfGeographicI"/>
      <w:bookmarkEnd w:id="340"/>
    </w:p>
    <w:tbl>
      <w:tblPr>
        <w:tblW w:w="5750" w:type="dxa"/>
        <w:jc w:val="left"/>
        <w:tblInd w:w="0" w:type="dxa"/>
        <w:tblLayout w:type="fixed"/>
        <w:tblCellMar>
          <w:top w:w="0" w:type="dxa"/>
          <w:left w:w="0" w:type="dxa"/>
          <w:bottom w:w="0" w:type="dxa"/>
          <w:right w:w="0" w:type="dxa"/>
        </w:tblCellMar>
      </w:tblPr>
      <w:tblGrid>
        <w:gridCol w:w="2990"/>
        <w:gridCol w:w="60"/>
        <w:gridCol w:w="125"/>
        <w:gridCol w:w="590"/>
        <w:gridCol w:w="60"/>
        <w:gridCol w:w="60"/>
        <w:gridCol w:w="60"/>
        <w:gridCol w:w="335"/>
        <w:gridCol w:w="60"/>
        <w:gridCol w:w="60"/>
        <w:gridCol w:w="125"/>
        <w:gridCol w:w="590"/>
        <w:gridCol w:w="60"/>
        <w:gridCol w:w="60"/>
        <w:gridCol w:w="60"/>
        <w:gridCol w:w="380"/>
        <w:gridCol w:w="75"/>
      </w:tblGrid>
      <w:tr>
        <w:trPr/>
        <w:tc>
          <w:tcPr>
            <w:tcW w:w="2990" w:type="dxa"/>
            <w:tcBorders/>
            <w:shd w:fill="FFFFFF" w:val="clear"/>
            <w:vAlign w:val="center"/>
          </w:tcPr>
          <w:p>
            <w:pPr>
              <w:pStyle w:val="TableContents"/>
              <w:bidi w:val="0"/>
              <w:spacing w:before="0" w:after="283"/>
              <w:jc w:val="both"/>
              <w:rPr>
                <w:sz w:val="20"/>
              </w:rPr>
            </w:pPr>
            <w:bookmarkStart w:id="341" w:name="xdx_8BA_zYl7dsk6itkg"/>
            <w:bookmarkEnd w:id="341"/>
            <w:r>
              <w:rPr>
                <w:sz w:val="20"/>
              </w:rPr>
              <w:t>Schedule of Geographic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0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r>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515" w:type="dxa"/>
            <w:gridSpan w:val="3"/>
            <w:tcBorders>
              <w:bottom w:val="single" w:sz="8" w:space="0" w:color="000000"/>
            </w:tcBorders>
            <w:tcMar>
              <w:bottom w:w="28" w:type="dxa"/>
            </w:tcMar>
            <w:vAlign w:val="center"/>
          </w:tcPr>
          <w:p>
            <w:pPr>
              <w:pStyle w:val="TableContents"/>
              <w:bidi w:val="0"/>
              <w:spacing w:before="0" w:after="283"/>
              <w:jc w:val="center"/>
              <w:rPr>
                <w:sz w:val="20"/>
              </w:rPr>
            </w:pPr>
            <w:r>
              <w:rPr>
                <w:sz w:val="20"/>
              </w:rPr>
              <w:t>%</w:t>
            </w:r>
          </w:p>
        </w:tc>
      </w:tr>
      <w:tr>
        <w:trPr/>
        <w:tc>
          <w:tcPr>
            <w:tcW w:w="2990" w:type="dxa"/>
            <w:tcBorders/>
            <w:shd w:fill="CCEEFF" w:val="clear"/>
            <w:vAlign w:val="center"/>
          </w:tcPr>
          <w:p>
            <w:pPr>
              <w:pStyle w:val="TableContents"/>
              <w:bidi w:val="0"/>
              <w:spacing w:before="0" w:after="283"/>
              <w:jc w:val="both"/>
              <w:rPr>
                <w:sz w:val="20"/>
              </w:rPr>
            </w:pPr>
            <w:r>
              <w:rPr>
                <w:sz w:val="20"/>
              </w:rPr>
              <w:t>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bookmarkStart w:id="342" w:name="xdx_989_eifrs-full--Revenue_pn3n3_c20260"/>
            <w:bookmarkEnd w:id="342"/>
          </w:p>
        </w:tc>
        <w:tc>
          <w:tcPr>
            <w:tcW w:w="590" w:type="dxa"/>
            <w:tcBorders/>
            <w:shd w:fill="CCEEFF" w:val="clear"/>
            <w:vAlign w:val="center"/>
          </w:tcPr>
          <w:p>
            <w:pPr>
              <w:pStyle w:val="TableContents"/>
              <w:bidi w:val="0"/>
              <w:spacing w:before="0" w:after="283"/>
              <w:jc w:val="right"/>
              <w:rPr>
                <w:sz w:val="20"/>
              </w:rPr>
            </w:pPr>
            <w:r>
              <w:rPr>
                <w:sz w:val="20"/>
              </w:rPr>
              <w:t>24,237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bookmarkStart w:id="343" w:name="xdx_904_eifrs-full--PercentageOfEntitysR"/>
            <w:bookmarkEnd w:id="343"/>
            <w:r>
              <w:rPr>
                <w:sz w:val="20"/>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bookmarkStart w:id="344" w:name="xdx_98C_eifrs-full--Revenue_pn3n3_c20250"/>
            <w:bookmarkEnd w:id="344"/>
          </w:p>
        </w:tc>
        <w:tc>
          <w:tcPr>
            <w:tcW w:w="590" w:type="dxa"/>
            <w:tcBorders/>
            <w:shd w:fill="CCEEFF" w:val="clear"/>
            <w:vAlign w:val="center"/>
          </w:tcPr>
          <w:p>
            <w:pPr>
              <w:pStyle w:val="TableContents"/>
              <w:bidi w:val="0"/>
              <w:spacing w:before="0" w:after="283"/>
              <w:jc w:val="right"/>
              <w:rPr>
                <w:sz w:val="20"/>
              </w:rPr>
            </w:pPr>
            <w:r>
              <w:rPr>
                <w:sz w:val="20"/>
              </w:rPr>
              <w:t>20,336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bookmarkStart w:id="345" w:name="xdx_908_eifrs-full--PercentageOfEntitysR"/>
            <w:bookmarkEnd w:id="345"/>
            <w:r>
              <w:rPr>
                <w:sz w:val="20"/>
              </w:rPr>
              <w:t>84.1</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sz w:val="20"/>
              </w:rPr>
            </w:pPr>
            <w:r>
              <w:rPr>
                <w:sz w:val="20"/>
              </w:rPr>
              <w:t>APA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6" w:name="xdx_981_eifrs-full--Revenue_pn3n3_c20260"/>
            <w:bookmarkEnd w:id="346"/>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3,870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347" w:name="xdx_90C_eifrs-full--PercentageOfEntitysR"/>
            <w:bookmarkEnd w:id="347"/>
            <w:r>
              <w:rPr>
                <w:sz w:val="20"/>
              </w:rPr>
              <w:t>12</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8" w:name="xdx_986_eifrs-full--Revenue_pn3n3_c20250"/>
            <w:bookmarkEnd w:id="348"/>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2,347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349" w:name="xdx_90D_eifrs-full--PercentageOfEntitysR"/>
            <w:bookmarkEnd w:id="349"/>
            <w:r>
              <w:rPr>
                <w:sz w:val="20"/>
              </w:rPr>
              <w:t>9.7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0" w:name="xdx_985_eifrs-full--Revenue_pn3n3_c20260"/>
            <w:bookmarkEnd w:id="350"/>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4,531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351" w:name="xdx_90F_eifrs-full--PercentageOfEntitysR"/>
            <w:bookmarkEnd w:id="351"/>
            <w:r>
              <w:rPr>
                <w:sz w:val="20"/>
              </w:rPr>
              <w:t>14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2" w:name="xdx_986_eifrs-full--Revenue_pn3n3_c20250"/>
            <w:bookmarkEnd w:id="35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1,485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353" w:name="xdx_90F_eifrs-full--PercentageOfEntitysR"/>
            <w:bookmarkEnd w:id="353"/>
            <w:r>
              <w:rPr>
                <w:sz w:val="20"/>
              </w:rPr>
              <w:t>6.2</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bookmarkStart w:id="354" w:name="xdx_984_eifrs-full--Revenue_pn3n3_c20260"/>
            <w:bookmarkEnd w:id="354"/>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32,638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55" w:name="xdx_906_eifrs-full--PercentageOfEntitysR"/>
            <w:bookmarkEnd w:id="355"/>
            <w:r>
              <w:rPr>
                <w:sz w:val="20"/>
              </w:rPr>
              <w:t>100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bookmarkStart w:id="356" w:name="xdx_98C_eifrs-full--Revenue_pn3n3_c20250"/>
            <w:bookmarkEnd w:id="356"/>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24,168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57" w:name="xdx_90C_eifrs-full--PercentageOfEntitysR"/>
            <w:bookmarkEnd w:id="357"/>
            <w:r>
              <w:rPr>
                <w:sz w:val="20"/>
              </w:rPr>
              <w:t>100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ind w:left="1109" w:right="1109" w:hanging="0"/>
        <w:jc w:val="left"/>
        <w:rPr/>
      </w:pPr>
      <w:bookmarkStart w:id="358" w:name="xdx_8AB_zLPBiQodiNf4"/>
      <w:bookmarkEnd w:id="358"/>
      <w:r>
        <w:rPr/>
        <w:t> </w:t>
      </w:r>
    </w:p>
    <w:p>
      <w:pPr>
        <w:pStyle w:val="TextBody"/>
        <w:bidi w:val="0"/>
        <w:spacing w:before="1" w:after="1"/>
        <w:ind w:left="499" w:right="1" w:hanging="0"/>
        <w:jc w:val="left"/>
        <w:rPr>
          <w:b/>
          <w:sz w:val="20"/>
        </w:rPr>
      </w:pPr>
      <w:bookmarkStart w:id="359" w:name="xdx_80F_eifrs-full--DisclosureOfEarnings"/>
      <w:bookmarkEnd w:id="359"/>
      <w:r>
        <w:rPr>
          <w:b/>
          <w:sz w:val="20"/>
        </w:rPr>
        <w:t xml:space="preserve">NOTE 10: </w:t>
      </w:r>
      <w:bookmarkStart w:id="360" w:name="xdx_822_z4JASEb4ZyW4"/>
      <w:bookmarkEnd w:id="360"/>
      <w:r>
        <w:rPr>
          <w:b/>
          <w:sz w:val="20"/>
        </w:rPr>
        <w:t>EARNINGS PER SHARE</w:t>
      </w:r>
    </w:p>
    <w:p>
      <w:pPr>
        <w:pStyle w:val="TextBody"/>
        <w:bidi w:val="0"/>
        <w:spacing w:before="11" w:after="11"/>
        <w:ind w:left="11" w:right="11" w:hanging="0"/>
        <w:jc w:val="left"/>
        <w:rPr/>
      </w:pPr>
      <w:r>
        <w:rPr/>
        <w:t> </w:t>
      </w:r>
    </w:p>
    <w:p>
      <w:pPr>
        <w:pStyle w:val="TextBody"/>
        <w:bidi w:val="0"/>
        <w:spacing w:before="1" w:after="1"/>
        <w:ind w:left="492" w:right="26" w:hanging="0"/>
        <w:jc w:val="left"/>
        <w:rPr>
          <w:sz w:val="20"/>
        </w:rPr>
      </w:pPr>
      <w:r>
        <w:rPr>
          <w:sz w:val="20"/>
        </w:rPr>
        <w:t>Number of shares and profit used in the computation of basic and diluted earnings per share:</w:t>
      </w:r>
    </w:p>
    <w:p>
      <w:pPr>
        <w:pStyle w:val="Normal"/>
        <w:bidi w:val="0"/>
        <w:spacing w:before="0" w:after="0"/>
        <w:ind w:left="119" w:right="119" w:hanging="0"/>
        <w:jc w:val="left"/>
        <w:rPr>
          <w:sz w:val="4"/>
          <w:szCs w:val="4"/>
        </w:rPr>
      </w:pPr>
      <w:r>
        <w:rPr>
          <w:sz w:val="4"/>
          <w:szCs w:val="4"/>
        </w:rPr>
      </w:r>
      <w:bookmarkStart w:id="361" w:name="xdx_89B_ecustom--DisclosureOfDetailedInf"/>
      <w:bookmarkStart w:id="362" w:name="xdx_89B_ecustom--DisclosureOfDetailedInf"/>
      <w:bookmarkEnd w:id="362"/>
    </w:p>
    <w:tbl>
      <w:tblPr>
        <w:tblW w:w="10082" w:type="dxa"/>
        <w:jc w:val="left"/>
        <w:tblInd w:w="0" w:type="dxa"/>
        <w:tblLayout w:type="fixed"/>
        <w:tblCellMar>
          <w:top w:w="0" w:type="dxa"/>
          <w:left w:w="0" w:type="dxa"/>
          <w:bottom w:w="0" w:type="dxa"/>
          <w:right w:w="0" w:type="dxa"/>
        </w:tblCellMar>
      </w:tblPr>
      <w:tblGrid>
        <w:gridCol w:w="4025"/>
        <w:gridCol w:w="60"/>
        <w:gridCol w:w="82"/>
        <w:gridCol w:w="1309"/>
        <w:gridCol w:w="82"/>
        <w:gridCol w:w="60"/>
        <w:gridCol w:w="266"/>
        <w:gridCol w:w="1033"/>
        <w:gridCol w:w="129"/>
        <w:gridCol w:w="60"/>
        <w:gridCol w:w="82"/>
        <w:gridCol w:w="1309"/>
        <w:gridCol w:w="82"/>
        <w:gridCol w:w="60"/>
        <w:gridCol w:w="255"/>
        <w:gridCol w:w="993"/>
        <w:gridCol w:w="195"/>
      </w:tblGrid>
      <w:tr>
        <w:trPr/>
        <w:tc>
          <w:tcPr>
            <w:tcW w:w="4025" w:type="dxa"/>
            <w:tcBorders/>
            <w:vAlign w:val="center"/>
          </w:tcPr>
          <w:p>
            <w:pPr>
              <w:pStyle w:val="TableContents"/>
              <w:bidi w:val="0"/>
              <w:spacing w:before="0" w:after="283"/>
              <w:jc w:val="left"/>
              <w:rPr>
                <w:sz w:val="20"/>
              </w:rPr>
            </w:pPr>
            <w:bookmarkStart w:id="363" w:name="xdx_8B3_zSg3Ms9GJIjg"/>
            <w:bookmarkEnd w:id="363"/>
            <w:r>
              <w:rPr>
                <w:sz w:val="20"/>
              </w:rPr>
              <w:t>Schedule of net loss per share</w:t>
            </w:r>
          </w:p>
        </w:tc>
        <w:tc>
          <w:tcPr>
            <w:tcW w:w="60"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pPr>
            <w:r>
              <w:rPr/>
              <w:t> </w:t>
            </w:r>
          </w:p>
        </w:tc>
      </w:tr>
      <w:tr>
        <w:trPr/>
        <w:tc>
          <w:tcPr>
            <w:tcW w:w="4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997"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r>
      <w:tr>
        <w:trPr/>
        <w:tc>
          <w:tcPr>
            <w:tcW w:w="4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96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2976"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jc w:val="center"/>
              <w:rPr>
                <w:b/>
                <w:sz w:val="20"/>
              </w:rPr>
            </w:pPr>
            <w:r>
              <w:rPr>
                <w:b/>
                <w:sz w:val="20"/>
              </w:rPr>
              <w:t>Weighted</w:t>
            </w:r>
          </w:p>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jc w:val="center"/>
              <w:rPr>
                <w:b/>
                <w:sz w:val="20"/>
              </w:rPr>
            </w:pPr>
            <w:r>
              <w:rPr>
                <w:b/>
                <w:sz w:val="20"/>
              </w:rPr>
              <w:t>Profit</w:t>
            </w:r>
          </w:p>
          <w:p>
            <w:pPr>
              <w:pStyle w:val="TableContents"/>
              <w:bidi w:val="0"/>
              <w:jc w:val="center"/>
              <w:rPr>
                <w:b/>
                <w:sz w:val="20"/>
              </w:rPr>
            </w:pPr>
            <w:r>
              <w:rPr>
                <w:b/>
                <w:sz w:val="20"/>
              </w:rPr>
              <w:t xml:space="preserve">attributable </w:t>
              <w:br/>
              <w:t>to equity holders</w:t>
            </w:r>
          </w:p>
          <w:p>
            <w:pPr>
              <w:pStyle w:val="TableContents"/>
              <w:bidi w:val="0"/>
              <w:spacing w:before="0" w:after="283"/>
              <w:jc w:val="center"/>
              <w:rPr>
                <w:b/>
                <w:sz w:val="20"/>
              </w:rPr>
            </w:pPr>
            <w:r>
              <w:rPr>
                <w:b/>
                <w:sz w:val="20"/>
              </w:rPr>
              <w:t>of the Company</w:t>
            </w:r>
          </w:p>
        </w:tc>
        <w:tc>
          <w:tcPr>
            <w:tcW w:w="60"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jc w:val="center"/>
              <w:rPr>
                <w:b/>
                <w:sz w:val="20"/>
              </w:rPr>
            </w:pPr>
            <w:r>
              <w:rPr>
                <w:b/>
                <w:sz w:val="20"/>
              </w:rPr>
              <w:t>Weighted</w:t>
            </w:r>
          </w:p>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jc w:val="center"/>
              <w:rPr>
                <w:b/>
                <w:sz w:val="20"/>
              </w:rPr>
            </w:pPr>
            <w:r>
              <w:rPr>
                <w:b/>
                <w:sz w:val="20"/>
              </w:rPr>
              <w:t>Profit</w:t>
            </w:r>
          </w:p>
          <w:p>
            <w:pPr>
              <w:pStyle w:val="TableContents"/>
              <w:bidi w:val="0"/>
              <w:jc w:val="center"/>
              <w:rPr>
                <w:b/>
                <w:sz w:val="20"/>
              </w:rPr>
            </w:pPr>
            <w:r>
              <w:rPr>
                <w:b/>
                <w:sz w:val="20"/>
              </w:rPr>
              <w:t xml:space="preserve">attributable </w:t>
              <w:br/>
              <w:t>to equity holders</w:t>
            </w:r>
          </w:p>
          <w:p>
            <w:pPr>
              <w:pStyle w:val="TableContents"/>
              <w:bidi w:val="0"/>
              <w:spacing w:before="0" w:after="283"/>
              <w:jc w:val="center"/>
              <w:rPr>
                <w:b/>
                <w:sz w:val="20"/>
              </w:rPr>
            </w:pPr>
            <w:r>
              <w:rPr>
                <w:b/>
                <w:sz w:val="20"/>
              </w:rPr>
              <w:t>of the Company</w:t>
            </w:r>
          </w:p>
        </w:tc>
      </w:tr>
      <w:tr>
        <w:trPr/>
        <w:tc>
          <w:tcPr>
            <w:tcW w:w="4025" w:type="dxa"/>
            <w:tcBorders/>
            <w:shd w:fill="CCEEFF" w:val="clear"/>
            <w:vAlign w:val="center"/>
          </w:tcPr>
          <w:p>
            <w:pPr>
              <w:pStyle w:val="TableContents"/>
              <w:bidi w:val="0"/>
              <w:spacing w:before="0" w:after="283"/>
              <w:jc w:val="left"/>
              <w:rPr>
                <w:sz w:val="20"/>
              </w:rPr>
            </w:pPr>
            <w:r>
              <w:rPr>
                <w:sz w:val="20"/>
              </w:rPr>
              <w:t>For the computation of basic earnings per share</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4" w:name="xdx_982_eifrs-full--WeightedAverageShare"/>
            <w:bookmarkEnd w:id="364"/>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39,372,417</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365" w:name="xdx_989_eifrs-full--ProfitLoss_pn3n3_c20"/>
            <w:bookmarkEnd w:id="365"/>
          </w:p>
        </w:tc>
        <w:tc>
          <w:tcPr>
            <w:tcW w:w="103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6" w:name="xdx_98D_eifrs-full--WeightedAverageShare"/>
            <w:bookmarkEnd w:id="366"/>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37,705,678</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367" w:name="xdx_980_eifrs-full--ProfitLoss_pn3n3_c20"/>
            <w:bookmarkEnd w:id="367"/>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3,134</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sz w:val="20"/>
              </w:rPr>
            </w:pPr>
            <w:r>
              <w:rPr>
                <w:sz w:val="20"/>
              </w:rPr>
              <w:t>Effect of potential dilutive ordinary shares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8" w:name="xdx_987_eifrs-full--DilutiveEffectOfAllI"/>
            <w:bookmarkEnd w:id="368"/>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1,627,955</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9" w:name="xdx_980_eifrs-full--ProfitLossAttributab"/>
            <w:bookmarkEnd w:id="369"/>
          </w:p>
        </w:tc>
        <w:tc>
          <w:tcPr>
            <w:tcW w:w="10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0" w:name="xdx_989_eifrs-full--DilutiveEffectOfAllI"/>
            <w:bookmarkEnd w:id="370"/>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1,356,991</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1" w:name="xdx_989_eifrs-full--ProfitLossAttributab"/>
            <w:bookmarkEnd w:id="371"/>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sz w:val="20"/>
              </w:rPr>
            </w:pPr>
            <w:r>
              <w:rPr>
                <w:sz w:val="20"/>
              </w:rPr>
              <w:t>For the computation of diluted earnings per share</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2" w:name="xdx_98A_ecustom--WeightedAverageSharesBa"/>
            <w:bookmarkEnd w:id="372"/>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41,000,372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73" w:name="xdx_986_ecustom--ProfitLossBasicAndDilut"/>
            <w:bookmarkEnd w:id="373"/>
          </w:p>
        </w:tc>
        <w:tc>
          <w:tcPr>
            <w:tcW w:w="103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5,000</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4" w:name="xdx_98C_ecustom--WeightedAverageSharesBa"/>
            <w:bookmarkEnd w:id="374"/>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39,062,669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75" w:name="xdx_98A_ecustom--ProfitLossBasicAndDilut"/>
            <w:bookmarkEnd w:id="375"/>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2,831</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90" w:after="90"/>
        <w:ind w:left="90" w:right="90" w:hanging="0"/>
        <w:jc w:val="left"/>
        <w:rPr/>
      </w:pPr>
      <w:bookmarkStart w:id="376" w:name="xdx_8A3_z6Rg6RbK8VA9"/>
      <w:bookmarkEnd w:id="376"/>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7" w:after="67"/>
        <w:ind w:left="907" w:right="899" w:hanging="0"/>
        <w:jc w:val="center"/>
        <w:rPr>
          <w:b/>
          <w:sz w:val="20"/>
        </w:rPr>
      </w:pPr>
      <w:r>
        <w:rPr>
          <w:b/>
          <w:sz w:val="20"/>
        </w:rPr>
        <w:t>BRAINSWAY LTD. AND SUBSIDIARIES</w:t>
      </w:r>
    </w:p>
    <w:p>
      <w:pPr>
        <w:pStyle w:val="TextBody"/>
        <w:bidi w:val="0"/>
        <w:spacing w:before="18" w:after="18"/>
        <w:ind w:left="907" w:right="899" w:hanging="0"/>
        <w:jc w:val="center"/>
        <w:rPr>
          <w:b/>
          <w:sz w:val="20"/>
        </w:rPr>
      </w:pPr>
      <w:r>
        <w:rPr>
          <w:b/>
          <w:sz w:val="20"/>
        </w:rPr>
        <w:t>NOTES TO THE CONDENSED CONSOLIDATED UNAUDITED INTERIM FINANCIAL STATEMENTS</w:t>
      </w:r>
    </w:p>
    <w:p>
      <w:pPr>
        <w:pStyle w:val="TextBody"/>
        <w:bidi w:val="0"/>
        <w:spacing w:before="35" w:after="35"/>
        <w:ind w:left="35" w:right="35" w:hanging="0"/>
        <w:jc w:val="left"/>
        <w:rPr/>
      </w:pPr>
      <w:r>
        <w:rPr/>
        <w:t> </w:t>
      </w:r>
    </w:p>
    <w:p>
      <w:pPr>
        <w:pStyle w:val="TextBody"/>
        <w:bidi w:val="0"/>
        <w:spacing w:before="120" w:after="120"/>
        <w:jc w:val="center"/>
        <w:rPr>
          <w:b/>
          <w:sz w:val="20"/>
        </w:rPr>
      </w:pPr>
      <w:bookmarkStart w:id="377" w:name="xdx_239_zpTuROFsaMFe"/>
      <w:bookmarkEnd w:id="377"/>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499" w:right="0" w:hanging="0"/>
        <w:jc w:val="left"/>
        <w:rPr>
          <w:b/>
          <w:sz w:val="20"/>
        </w:rPr>
      </w:pPr>
      <w:bookmarkStart w:id="378" w:name="xdx_805_eifrs-full--DisclosureOfTransact"/>
      <w:bookmarkStart w:id="379" w:name="xdx_239_zqzgwYMXYxjb"/>
      <w:bookmarkEnd w:id="378"/>
      <w:bookmarkEnd w:id="379"/>
      <w:r>
        <w:rPr>
          <w:b/>
          <w:sz w:val="20"/>
        </w:rPr>
        <w:t xml:space="preserve">NOTE 11: </w:t>
      </w:r>
      <w:bookmarkStart w:id="380" w:name="xdx_82E_zhjEtLQFihVf"/>
      <w:bookmarkEnd w:id="380"/>
      <w:r>
        <w:rPr>
          <w:b/>
          <w:sz w:val="20"/>
        </w:rPr>
        <w:t>RELATED AND INTERESTED PARTIES</w:t>
      </w:r>
    </w:p>
    <w:p>
      <w:pPr>
        <w:pStyle w:val="TextBody"/>
        <w:bidi w:val="0"/>
        <w:ind w:left="499" w:right="0" w:hanging="0"/>
        <w:jc w:val="left"/>
        <w:rPr/>
      </w:pPr>
      <w:r>
        <w:rPr/>
        <w:t> </w:t>
      </w:r>
    </w:p>
    <w:p>
      <w:pPr>
        <w:pStyle w:val="TextBody"/>
        <w:bidi w:val="0"/>
        <w:spacing w:before="1" w:after="0"/>
        <w:ind w:left="492" w:right="0" w:hanging="0"/>
        <w:jc w:val="left"/>
        <w:rPr>
          <w:b w:val="false"/>
          <w:sz w:val="20"/>
        </w:rPr>
      </w:pPr>
      <w:r>
        <w:rPr>
          <w:b w:val="false"/>
          <w:sz w:val="20"/>
        </w:rPr>
        <w:t>During the six-month period ended June 30, 2026, the Group recognized revenues of $</w:t>
      </w:r>
      <w:bookmarkStart w:id="381" w:name="xdx_902_eifrs-full--Revenue_pn3n3_c20260"/>
      <w:bookmarkEnd w:id="381"/>
      <w:r>
        <w:rPr>
          <w:b w:val="false"/>
          <w:sz w:val="20"/>
        </w:rPr>
        <w:t>70 and $</w:t>
      </w:r>
      <w:bookmarkStart w:id="382" w:name="xdx_904_eifrs-full--Revenue_pn3n3_c20260"/>
      <w:bookmarkEnd w:id="382"/>
      <w:r>
        <w:rPr>
          <w:b w:val="false"/>
          <w:sz w:val="20"/>
        </w:rPr>
        <w:t>140 from two clinics (Clinic A and B, respectively) that are serviced by management services organizations in which Tikva holds minority investments. As an accounting matter, including due to influence considerations, we will be treating these entities as related parties, although the investment contract terms are unrelated to the revenue-generating contracts, and although the investment and revenue-generating agreements are with different Group entities. As of June 30, 2026, the trade receivable balances amounted to $</w:t>
      </w:r>
      <w:bookmarkStart w:id="383" w:name="xdx_907_eifrs-full--TradeReceivables_iI_"/>
      <w:bookmarkEnd w:id="383"/>
      <w:r>
        <w:rPr>
          <w:b w:val="false"/>
          <w:sz w:val="20"/>
        </w:rPr>
        <w:t>135 from Clinic A. The investments in these entities are measured at fair value through profit or loss in accordance with IFRS 9.</w:t>
      </w:r>
    </w:p>
    <w:p>
      <w:pPr>
        <w:pStyle w:val="TextBody"/>
        <w:bidi w:val="0"/>
        <w:ind w:left="499" w:right="0" w:hanging="0"/>
        <w:jc w:val="left"/>
        <w:rPr/>
      </w:pPr>
      <w:r>
        <w:rPr/>
        <w:t> </w:t>
      </w:r>
    </w:p>
    <w:p>
      <w:pPr>
        <w:pStyle w:val="TextBody"/>
        <w:bidi w:val="0"/>
        <w:ind w:left="499" w:right="0" w:hanging="0"/>
        <w:jc w:val="left"/>
        <w:rPr>
          <w:b/>
          <w:sz w:val="20"/>
        </w:rPr>
      </w:pPr>
      <w:bookmarkStart w:id="384" w:name="xdx_809_ecustom--DisclosureOfSubsequentE"/>
      <w:bookmarkEnd w:id="384"/>
      <w:r>
        <w:rPr>
          <w:b/>
          <w:sz w:val="20"/>
        </w:rPr>
        <w:t xml:space="preserve">NOTE 12: </w:t>
      </w:r>
      <w:bookmarkStart w:id="385" w:name="xdx_827_zHyC6Ax7uuYc"/>
      <w:bookmarkEnd w:id="385"/>
      <w:r>
        <w:rPr>
          <w:b/>
          <w:sz w:val="20"/>
        </w:rPr>
        <w:t>SUBSEQUENT EVENTS</w:t>
      </w:r>
    </w:p>
    <w:p>
      <w:pPr>
        <w:pStyle w:val="TextBody"/>
        <w:bidi w:val="0"/>
        <w:spacing w:before="2" w:after="2"/>
        <w:ind w:left="2" w:right="2"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On July 14, 2026, the Company made a strategic minority equity investment of $</w:t>
            </w:r>
            <w:bookmarkStart w:id="386" w:name="xdx_902_ecustom--EquityInvestment_iI_pn3"/>
            <w:bookmarkEnd w:id="386"/>
            <w:r>
              <w:rPr/>
              <w:t>3.0 million in Radial, a management services organization supporting a network of Brain Medicine clinics. The investment was made as part of Radial’s Series A financing round and is consistent with the Company’s strategy to secure minority equity positions in mental health provider networks. For more information see Note 5.B.7.</w:t>
            </w:r>
          </w:p>
        </w:tc>
      </w:tr>
    </w:tbl>
    <w:p>
      <w:pPr>
        <w:pStyle w:val="TextBody"/>
        <w:bidi w:val="0"/>
        <w:spacing w:before="2" w:after="2"/>
        <w:ind w:left="2" w:right="2"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On July 15, 2026, the Company entered into a strategic equity financing agreement with CM Counsel Management LLC (“Sound Minds”), a behavioral health services provider operating multiple locations in the United States. Under the terms of the agreement, the Company will invest $</w:t>
            </w:r>
            <w:bookmarkStart w:id="387" w:name="xdx_901_ecustom--MinorityEquityInterest_"/>
            <w:bookmarkEnd w:id="387"/>
            <w:r>
              <w:rPr/>
              <w:t>500 for a minority equity interest in Sound Minds in the form of a preferred, annually compounding security.</w:t>
            </w:r>
          </w:p>
        </w:tc>
      </w:tr>
    </w:tbl>
    <w:p>
      <w:pPr>
        <w:pStyle w:val="TextBody"/>
        <w:bidi w:val="0"/>
        <w:spacing w:before="14" w:after="14"/>
        <w:ind w:left="798" w:right="14"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both"/>
              <w:rPr/>
            </w:pPr>
            <w:r>
              <w:rPr/>
              <w:t>On August 26, 2026, following the achievement of the first milestone under the Series A Preferred Stock Purchase Agreement with Tangient, the Group made an additional milestone investment of approximately $</w:t>
            </w:r>
            <w:bookmarkStart w:id="388" w:name="xdx_90D_ecustom--AdditionalMilestoneInve"/>
            <w:bookmarkEnd w:id="388"/>
            <w:r>
              <w:rPr/>
              <w:t>833. For more information see Note 5.B.3.</w:t>
            </w:r>
          </w:p>
        </w:tc>
      </w:tr>
    </w:tbl>
    <w:p>
      <w:pPr>
        <w:pStyle w:val="TextBody"/>
        <w:bidi w:val="0"/>
        <w:ind w:left="798" w:right="14" w:hanging="252"/>
        <w:jc w:val="left"/>
        <w:rPr/>
      </w:pPr>
      <w:bookmarkStart w:id="389" w:name="xdx_81A_zPaJYsbvbirg"/>
      <w:bookmarkEnd w:id="389"/>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12</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283" w:right="283" w:hanging="0"/>
        <w:jc w:val="right"/>
        <w:rPr>
          <w:b/>
          <w:sz w:val="20"/>
        </w:rPr>
      </w:pPr>
      <w:bookmarkStart w:id="390" w:name="exh_992.htm"/>
      <w:bookmarkStart w:id="391" w:name="ksexh_992"/>
      <w:bookmarkEnd w:id="390"/>
      <w:bookmarkEnd w:id="391"/>
      <w:r>
        <w:rPr>
          <w:b/>
          <w:sz w:val="20"/>
        </w:rPr>
        <w:t>Exhibit 99.2</w:t>
      </w:r>
      <w:r>
        <w:br w:type="page"/>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OPERATING AND FINANCIAL REVIEW AND PROSPECTS</w:t>
      </w:r>
    </w:p>
    <w:p>
      <w:pPr>
        <w:pStyle w:val="TextBody"/>
        <w:bidi w:val="0"/>
        <w:spacing w:before="0" w:after="0"/>
        <w:ind w:left="0" w:right="0" w:hanging="0"/>
        <w:jc w:val="both"/>
        <w:rPr/>
      </w:pPr>
      <w:r>
        <w:rPr/>
        <w:t> </w:t>
      </w:r>
    </w:p>
    <w:p>
      <w:pPr>
        <w:pStyle w:val="TextBody"/>
        <w:bidi w:val="0"/>
        <w:spacing w:before="0" w:after="0"/>
        <w:ind w:left="507" w:right="283" w:hanging="0"/>
        <w:jc w:val="both"/>
        <w:rPr>
          <w:i/>
          <w:sz w:val="20"/>
        </w:rPr>
      </w:pPr>
      <w:r>
        <w:rPr>
          <w:i/>
          <w:sz w:val="20"/>
        </w:rPr>
        <w:t>This Operating and Financial Review and Prospects provides information that we believe to be relevant to an assessment and understanding of our results of operations, financial condition and prospects for the periods described and as of the date of this Operating and Financial Review and Prospects. This discussion should be read in conjunction with our unaudited condensed consolidated interim financial statements and the notes to the financial statements, which are included as Exhibit 99.1 to the Report of Foreign Private Issuer on Form 6-K to which this Operating and Financial Review and Prospects is attached. In addition, this information should also be read in conjunction with the information contained in our Annual Report on Form 20-F for the year ended December 31, 2025, filed with the Securities and Exchange Commission, or SEC, on April 20, 2026, or the 2025 Annual Report, including the consolidated annual financial statements as of, and for the year ended, December 31, 2025, and the accompanying notes included therein, including the information under “Item 5. Operating and Financial Review and Prospects” in the 2025 Annual Report.</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Unless the context otherwise requires, all references to “BrainsWay,” “we,” “us,” “our,” the “Company” and similar designations refer to BrainsWay Ltd., a limited liability company incorporated under the laws of the State of Israel, and its consolidated subsidiaries. The term “including” means “including but not limited to”, whether or not explicitly so stated, consolidated subsidiaries, unless the context otherwise requires.</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Financial and Other Information</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The term “NIS” refers to New Israeli Shekels, the lawful currency of the State of Israel, the terms “dollar”, “US$”, “$” or “USD” refer to U.S. dollars, the lawful currency of the United States of America. Our functional and presentation currency is the U.S. dollar. Unless otherwise indicated, U.S. dollar amounts herein (other than amounts originally receivable or payable in dollars) have been translated for the convenience of the reader from the original NIS amounts at the representative rate of exchange as of June 30, 2026 ($1 = NIS 2.978). The dollar amounts presented should not be construed as representing amounts that are receivable or payable in dollars or convertible into dollars, unless otherwise indicated. Foreign currency transactions in currencies other than U.S. dollars are translated herein into U.S. dollars using exchange rates in effect at the date of the transactions.</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Cautionary Note Regarding Forward-Looking Statements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This Operating and Financial Review and Prospects contains historical information and forward-looking statements within the meaning of The Private Securities Litigation Reform Act of 1995 with respect to the business, financial condition and results of operations of BrainsWay. Forward-looking statements can be identified based on our use of forward-looking words such as “believe,” “expect,” “intend,” “plan,” “may,” “should,” “anticipate,” “could,” “might,” “seek,” “target,” “will,” “project,” “forecast,” “continue” or their negatives or variations of these words or other comparable words, or by the fact that these statements do not relate strictly to historical matters.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We believe that our forward-looking statements are reasonable; however,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describe and/or refer to many of these risks in greater detail in Item 3.D. under the heading “Risk Factors” in our 2025 Annual Report.</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All forward-looking statements contained in this Operating and Financial Review and Prospects speak only as of the date of this document and are expressly qualified in their entirety as described herein and by the cautionary statements contained within the “Risk Factors” section of the 2025 Annual Report. We do not undertake to update or revise forward-looking statements to reflect events or circumstances that arise after the date on which such statements are made or to reflect the occurrence of unanticipated events, except as required by law. In evaluating forward-looking statements, you should consider these risks and uncertainties and not place undue reliance on our forward-looking statements.</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Company Overview</w:t>
      </w:r>
    </w:p>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General</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BrainsWay is a global leader in advanced noninvasive neurostimulation treatments for mental health disorders. We are boldly advancing neuroscience with our proprietary Deep Transcranial Magnetic Stimulation (Deep TMS™) platform technology to improve health and transform lives. We are dedicated to leading through superior science and building on what we believe to be an unparalleled body of clinical evidence. We are the first and only TMS company to be cleared by the FDA for three separate mental health condition indications based on clinically proven efficacy as demonstrated in pivotal randomized placebo-controlled studies. Current indications include major depressive disorder (MDD), including reduction of comorbid anxiety symptoms, commonly referred to as anxious depression, obsessive-compulsive disorder (OCD), and smoking addiction. We have also received CE Mark for a variety of psychiatric and neurological indications. We are focused on increasing global awareness of, and broad access to, Deep TMS.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In the United States, we sell our Deep TMS system for the treatment of MDD (including reduction of comorbid anxiety symptoms, commonly referred to as anxious depression), OCD and smoking addiction. We believe that our Deep TMS technology has the potential to be safe and effective for the treatment of a wide range of additional psychiatric, neurological, and addiction disorders. Additional clinical trials of Deep TMS in various psychiatric, neurological, and addiction disorders are underway or planned.</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Our first commercial H1 Coil Deep TMS product received clearance from the FDA in 2013 for the treatment of MDD in adult patients who have failed to achieve satisfactory improvement from anti-depressant medication in the current episode. Our Deep TMS system for MDD is currently marketed to and installed at psychiatrists’ offices and other facilities principally in the United States and in certain other countries throughout the world. In addition, our second Deep TMS commercial product received FDA marketing authorization in August 2018 as an adjunct therapy for adult patients suffering from OCD, and we currently market this product to the same general clientele as our MDD systems. Furthermore, our third Deep TMS commercial product received FDA marketing authorization in August 2020 as a short-term therapy for smoking addiction. Moreover, in August 2021, we received 510(k) clearance from the FDA for our Deep TMS for its use for the reduction of comorbid anxiety symptoms in adult patients with depression. In August 2022, we received 510(k) clearance from the FDA for the use of our H7 Coil to treat MDD (including anxious depression). In 2024, we received FDA clearance for an expansion of our existing MDD clearance allowing for the treatment of patients within the 69-86 age range suffering from late life depression. In September 2025, we received FDA clearance for an expansion of our existing MDD clearance allowing for an “accelerated” treatment protocol for patients with MDD, including those with comorbid anxiety symptoms. In November 2025, the FDA granted us an expanded indication for our Deep TMS system allowing for the treatment of adolescent patients (ages 15-21) with depression as an adjunct therapy. Our sales and marketing efforts are currently focused in the United States, where we generated approximately 75% and 84% of our revenues in the six months ended June 30, 2026 and 2025, respectively.</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We believe that Deep TMS represents a platform technology that provides an opportunity to develop additional Deep TMS products for a variety of psychiatric, neurological, and addiction disorders. We are planning clinical trials for other indications, including neurological and/or addiction disorders.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Our current customers are principally doctors, mental health clinics,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For Deep TMS for MDD, the FDA has also cleared a 3 minute “Theta Burst” treatment protocol. The SWIFT, or accelerated protocol, approved in September 2025, is comprised of an acute phase of 5 sessions per day for 6 days (over a 14 day period), followed by 2 sessions per day once a week for 4 weeks, with each session lasting less than 10 minutes. Patients may experience some discomfort during treatment and must use earplugs to reduce exposure to the loud sounds produced by the device. The treatment requires no anesthesia, hospitalization or sedation and no systemic side effects are associated with this therapy.</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In the United States, we sell or lease Deep TMS systems by one of the following two methods: (i) a fixed-fee lease model in which the Deep TMS system is leased to a customer for a fixed annual fee, generally with a term of between 48 and 60 months, for unlimited use; and (ii) a sales or purchase model in which the Deep TMS system is sold to the customer for a fixed purchase price.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These flexible offerings are designed to facilitate market penetration by addressing the differing clinical needs and risk tolerance among our customer base. We commercialize Deep TMS for OCD based generally on either the sale model, or as part of a fixed-fee lease model together with our MDD system. Following our receipt of FDA clearance for smoking addiction, we completed controlled and limited market releases of our system for this indication, and are currently in the process of a clinical data collection effort to facilitate a long term commercial plan for this product.</w:t>
      </w:r>
    </w:p>
    <w:p>
      <w:pPr>
        <w:pStyle w:val="TextBody"/>
        <w:bidi w:val="0"/>
        <w:spacing w:before="0" w:after="0"/>
        <w:ind w:left="507" w:right="283"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507" w:right="283" w:hanging="0"/>
        <w:jc w:val="both"/>
        <w:rPr>
          <w:sz w:val="20"/>
        </w:rPr>
      </w:pPr>
      <w:r>
        <w:rPr>
          <w:sz w:val="20"/>
        </w:rPr>
        <w:t>As of June 30, 2026, we had an installed base of approximately 1,949 Deep TMS systems, whereby 755 systems were leased from us, and an additional 1,194 systems were sold by us prior to June 30, 2026. Our installed base increased by 242 systems during the six months ended June 30, 2026. In addition, as of June 30, 2026, we had shipped 104 H7 Coils as additional coils attached to certain of our new and existing systems following our receipt in August 2018 of marketing approval from the FDA for our OCD system.</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For the six months ended June 30, 2026, our revenues were $32.6 million compared to $24.2 million for the six months ended June 30, 2025, representing an increase of 35%. Our net income for the six months ended June 30, 2026 was $5.0 million, compared to $3.1 million for the six months ended June 30, 2025, representing an increase of 60%. As of June 30, 2026, we had an accumulated deficit of $85.8 million. Our primary sources of capital to date have been from public offerings in Israel and in the United States, and private placements of our securities, grants from the Israel Innovation Authority (IIA), borrowings under our credit facilities, the lease and sale and commercialization of our products and services.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We expect our research, development, and clinical trials expenses to increase in connection with our ongoing activities, particularly as we continue to develop next generation technology (including in the areas of multichannel and rotational field TMS), roll out additional features on our current platform (including beta testing of additional remote capabilities), pursue future confirmatory trials and data collection efforts for existing indications, and seek FDA clearance for new indications such as fatigue in MS, addictions (including alcohol, cocaine and/or opioid addiction), pain and other potential psychiatric and neurological indications. We believe that our existing cash resources will be sufficient to enable us to fund our operating expenses and capital expenditure requirements in the foreseeable future.</w:t>
      </w:r>
    </w:p>
    <w:p>
      <w:pPr>
        <w:pStyle w:val="TextBody"/>
        <w:bidi w:val="0"/>
        <w:spacing w:before="0" w:after="0"/>
        <w:ind w:left="507" w:right="283" w:hanging="0"/>
        <w:jc w:val="both"/>
        <w:rPr/>
      </w:pPr>
      <w:r>
        <w:rPr/>
        <w:t> </w:t>
      </w:r>
    </w:p>
    <w:p>
      <w:pPr>
        <w:pStyle w:val="TextBody"/>
        <w:bidi w:val="0"/>
        <w:spacing w:before="0" w:after="0"/>
        <w:ind w:left="507" w:right="0" w:hanging="0"/>
        <w:jc w:val="both"/>
        <w:rPr>
          <w:b/>
          <w:i/>
          <w:sz w:val="20"/>
        </w:rPr>
      </w:pPr>
      <w:r>
        <w:rPr>
          <w:b/>
          <w:i/>
          <w:sz w:val="20"/>
        </w:rPr>
        <w:t>Recent Developments</w:t>
      </w:r>
    </w:p>
    <w:p>
      <w:pPr>
        <w:pStyle w:val="TextBody"/>
        <w:bidi w:val="0"/>
        <w:spacing w:before="0" w:after="0"/>
        <w:ind w:left="507" w:right="283" w:hanging="0"/>
        <w:jc w:val="both"/>
        <w:rPr/>
      </w:pPr>
      <w:r>
        <w:rPr/>
        <w:t> </w:t>
      </w:r>
    </w:p>
    <w:p>
      <w:pPr>
        <w:pStyle w:val="TextBody"/>
        <w:bidi w:val="0"/>
        <w:spacing w:before="0" w:after="0"/>
        <w:ind w:left="507" w:right="283" w:hanging="0"/>
        <w:jc w:val="both"/>
        <w:rPr>
          <w:i/>
          <w:sz w:val="20"/>
        </w:rPr>
      </w:pPr>
      <w:r>
        <w:rPr>
          <w:i/>
          <w:sz w:val="20"/>
        </w:rPr>
        <w:t xml:space="preserve">Strategic Investments </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We continued expanding our minority investment portfolio through strategic investments in Hopemark Health, Radial Health, BrainStim, and Active Recovery TMS, as well as a $6.0 million second-tranche convertible loan investment in Neurolief.</w:t>
      </w:r>
    </w:p>
    <w:p>
      <w:pPr>
        <w:pStyle w:val="TextBody"/>
        <w:bidi w:val="0"/>
        <w:spacing w:before="0" w:after="0"/>
        <w:ind w:left="507" w:right="283" w:hanging="0"/>
        <w:jc w:val="both"/>
        <w:rPr/>
      </w:pPr>
      <w:r>
        <w:rPr/>
        <w:t> </w:t>
      </w:r>
    </w:p>
    <w:p>
      <w:pPr>
        <w:pStyle w:val="TextBody"/>
        <w:bidi w:val="0"/>
        <w:spacing w:before="0" w:after="0"/>
        <w:ind w:left="507" w:right="283" w:hanging="0"/>
        <w:jc w:val="both"/>
        <w:rPr>
          <w:i/>
          <w:sz w:val="20"/>
        </w:rPr>
      </w:pPr>
      <w:r>
        <w:rPr>
          <w:i/>
          <w:sz w:val="20"/>
        </w:rPr>
        <w:t>Remaining Performance Obligations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As of June 30, 2026, our remaining performance obligations grew 30% year-over-year to $80.4 million.</w:t>
      </w:r>
    </w:p>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Components of Our Results of Operations</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Revenues</w:t>
      </w:r>
    </w:p>
    <w:p>
      <w:pPr>
        <w:pStyle w:val="TextBody"/>
        <w:bidi w:val="0"/>
        <w:spacing w:before="0" w:after="0"/>
        <w:ind w:left="0" w:right="0" w:hanging="0"/>
        <w:jc w:val="both"/>
        <w:rPr/>
      </w:pPr>
      <w:r>
        <w:rPr/>
        <w:t> </w:t>
      </w:r>
    </w:p>
    <w:p>
      <w:pPr>
        <w:pStyle w:val="TextBody"/>
        <w:bidi w:val="0"/>
        <w:spacing w:before="0" w:after="0"/>
        <w:ind w:left="507" w:right="0" w:hanging="0"/>
        <w:jc w:val="both"/>
        <w:rPr>
          <w:sz w:val="20"/>
        </w:rPr>
      </w:pPr>
      <w:r>
        <w:rPr>
          <w:sz w:val="20"/>
        </w:rPr>
        <w:t>We derive our revenues from the lease and sale of our Deep TMS systems. We offer the following main pricing models: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i/>
              </w:rPr>
              <w:t>Sale Model</w:t>
            </w:r>
            <w:r>
              <w:rPr/>
              <w:t>: The Deep TMS system is sold to the customer for a fixed purchase price.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Fixed-fee Lease Model</w:t>
            </w:r>
            <w:r>
              <w:rPr/>
              <w:t>: The customer leases the Deep TMS system and pays a fixed annual or monthly fee for the term of the lease (generally between 48 and 60 months).</w:t>
            </w:r>
          </w:p>
        </w:tc>
      </w:tr>
    </w:tbl>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Additional revenues may be generated from certain customers in certain territories who are or may potentially be under a Pay Per Use model, whereby the customer pays a fixed fee per every patient session during which the system is used. Further potential revenues may be derived from extended warranty fees paid for the system for service coverage beyond the standard included warranty period, which is generally for one year, and from variable or usage fees based on the number of treatments performed with the system.</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We are also able to leverage our platform technology, which includes the ability to treat multiple indications using different H-Coil helmets, to facilitate transactions utilizing combined pricing models often involving a single system with one or more add-on helmets.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revenues from the operating leases of our Deep TMS systems are recognized on a straight-line method over the term of the lease. Usage based fees, if applicable, are recognized as revenue when we are entitled to receive such revenue. Our revenues from sales are recognized when control of the system is transferred to the customer, generally upon delivery of the system.</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Cost of revenues and gross margin</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cost of revenues includes a significant component for the Deep TMS systems that we sell under our sales model. The cost of revenues for systems that we sell primarily consists of the costs of raw materials, including components purchased from our third-party contract manufacturers, and manufacturing and assembly of the components that we perform ourselves. The entire cost of the Deep TMS system is recognized upon such sales.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In the case of our other models, including our fixed-fee lease model, we maintain ownership of the Deep TMS systems and place our systems at sites for use by our customers, rather than selling them outright. Cost of revenues for these models includes a significant component of depreciation of the Deep TMS systems. We expect to continue to own our Deep TMS systems that have been placed under these models for the foreseeable future, which allows us to maintain our relatively low cost of revenues for those systems.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The cost of revenues for systems that we lease or sell also includes costs related to personnel, royalties to PHS and Yeda, shipping, and costs related to our operations department. We expect our cost of revenues to increase in absolute dollars to the extent our revenues increase.</w:t>
      </w:r>
    </w:p>
    <w:p>
      <w:pPr>
        <w:pStyle w:val="TextBody"/>
        <w:bidi w:val="0"/>
        <w:spacing w:before="0" w:after="0"/>
        <w:ind w:left="507" w:right="283" w:hanging="0"/>
        <w:jc w:val="both"/>
        <w:rPr/>
      </w:pPr>
      <w:r>
        <w:rPr/>
        <w:t> </w:t>
      </w:r>
    </w:p>
    <w:p>
      <w:pPr>
        <w:pStyle w:val="TextBody"/>
        <w:bidi w:val="0"/>
        <w:spacing w:before="0" w:after="0"/>
        <w:ind w:left="507" w:right="0" w:hanging="0"/>
        <w:jc w:val="both"/>
        <w:rPr>
          <w:i/>
          <w:sz w:val="20"/>
        </w:rPr>
      </w:pPr>
      <w:r>
        <w:rPr>
          <w:i/>
          <w:sz w:val="20"/>
        </w:rPr>
        <w:t>Research and development expenses, net</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Research and development expenses, net, consist primarily of personnel expenses, including salaries and related benefits and share-based compensation for employees, laboratory materials, regulatory costs, patents, facility costs, and travel expenses, as well as expenses associated with outsourced professional scientific development services, and the costs of multi-center and other clinical trials.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We expect to continue to incur research and development expenses for the foreseeable future as we advance the development of our Deep TMS technology for various neurological and/or addiction disorders, as well as for various hardware and software development projects related to the Deep TMS system.</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Selling and marketing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Selling and marketing expenses consist of marketing and commercial activities related to the sale and lease of our Deep TMS systems, as well as certain personnel expenses, including salaries and related benefits, sales commissions and share-based compensation for employees, collection fees and facility costs. Other significant sales and marketing costs include conferences, trade shows, and promotional and marketing activities, including direct and online marketing, SEO, earned media, practice support programs, media campaigns and travel expenses.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While we anticipate relative stability in current headcount levels for our existing commercial organization, we plan on investing additional resources including certain added roles to align with our strategic and growth initiatives.</w:t>
      </w:r>
    </w:p>
    <w:p>
      <w:pPr>
        <w:pStyle w:val="TextBody"/>
        <w:bidi w:val="0"/>
        <w:spacing w:before="0" w:after="0"/>
        <w:ind w:left="507" w:right="283" w:hanging="0"/>
        <w:jc w:val="both"/>
        <w:rPr/>
      </w:pPr>
      <w:r>
        <w:rPr/>
        <w:t> </w:t>
      </w:r>
    </w:p>
    <w:p>
      <w:pPr>
        <w:pStyle w:val="TextBody"/>
        <w:bidi w:val="0"/>
        <w:spacing w:before="0" w:after="0"/>
        <w:ind w:left="507" w:right="0" w:hanging="0"/>
        <w:jc w:val="both"/>
        <w:rPr>
          <w:i/>
          <w:sz w:val="20"/>
        </w:rPr>
      </w:pPr>
      <w:r>
        <w:rPr>
          <w:i/>
          <w:sz w:val="20"/>
        </w:rPr>
        <w:t>General and administrative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allowance for doubtful accounts, professional services, including legal and accounting fees, as well as administrative costs, including corporate facility costs.</w:t>
      </w:r>
    </w:p>
    <w:p>
      <w:pPr>
        <w:pStyle w:val="TextBody"/>
        <w:bidi w:val="0"/>
        <w:spacing w:before="0" w:after="0"/>
        <w:ind w:left="507" w:right="283" w:hanging="0"/>
        <w:jc w:val="both"/>
        <w:rPr/>
      </w:pPr>
      <w:r>
        <w:rPr/>
        <w:t> </w:t>
      </w:r>
    </w:p>
    <w:p>
      <w:pPr>
        <w:pStyle w:val="TextBody"/>
        <w:bidi w:val="0"/>
        <w:spacing w:before="0" w:after="0"/>
        <w:ind w:left="507" w:right="283" w:hanging="0"/>
        <w:jc w:val="both"/>
        <w:rPr>
          <w:sz w:val="20"/>
        </w:rPr>
      </w:pPr>
      <w:r>
        <w:rPr>
          <w:sz w:val="20"/>
        </w:rPr>
        <w:t>General and administrative costs also include, but are not limited to, consulting, investor relations, listing fees on The Nasdaq Global Market and the Tel Aviv Stock Exchange, costs associated with reporting and compliance in the United States and Israel, as well as director and officer insurance premiums. We anticipate that our general and administrative expenses will decrease as we realign our corporate activities.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507" w:right="0" w:hanging="0"/>
        <w:jc w:val="both"/>
        <w:rPr>
          <w:i/>
          <w:sz w:val="20"/>
        </w:rPr>
      </w:pPr>
      <w:r>
        <w:rPr>
          <w:i/>
          <w:sz w:val="20"/>
        </w:rPr>
        <w:t>Finance income</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finance income consists primarily of interest earned on our bank deposits, hedging and remeasurement of warrants and investments.</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Finance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finance expenses consist primarily of financing costs related to our outstanding liability to the IIA on account of grants received for financing our research and development activity, as well as expenses related to bank charges and foreign currency exchange transactions.</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Income Taxes Expense</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income taxes expense is derived primarily from income generated from the sales and lease of our Deep TMS systems by our U.S. subsidiary. During the six months ended June 30, 2026 and 2025, we recorded deferred tax assets in respect of temporary differences in the U.S. subsidiary.</w:t>
      </w:r>
    </w:p>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The preparation of unaudited condensed consolidated interim financial statements, in conformity with IFRS, requires companies to make estimates and assumptions that affect the reported amounts of assets, liabilities, revenues and expenses, and disclosure of contingent assets and liabilities at and as of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financial statements included in the 2025 Annual Report and in Note 2 to our unaudited condensed consolidated interim financial statements included as Exhibit 99.1 to this Report. Critical accounting estimates and judgments are continually evaluated and are based on historical experience and other factors, including expectations of future events that are believed to be reasonable under the circumstances, and are particularly important to the portrayal of our financial position and results of operations.</w:t>
      </w:r>
    </w:p>
    <w:p>
      <w:pPr>
        <w:pStyle w:val="TextBody"/>
        <w:bidi w:val="0"/>
        <w:spacing w:before="0" w:after="0"/>
        <w:ind w:left="507" w:right="283" w:hanging="0"/>
        <w:jc w:val="both"/>
        <w:rPr/>
      </w:pPr>
      <w:r>
        <w:rPr/>
        <w:t> </w:t>
      </w:r>
    </w:p>
    <w:p>
      <w:pPr>
        <w:pStyle w:val="TextBody"/>
        <w:bidi w:val="0"/>
        <w:spacing w:before="0" w:after="0"/>
        <w:ind w:left="507" w:right="0" w:hanging="0"/>
        <w:jc w:val="both"/>
        <w:rPr>
          <w:b/>
          <w:i/>
          <w:sz w:val="20"/>
        </w:rPr>
      </w:pPr>
      <w:r>
        <w:rPr>
          <w:b/>
          <w:i/>
          <w:sz w:val="20"/>
        </w:rPr>
        <w:t>Variability of Quarterly Operating Results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revenues and profitability may vary from quarter to quarter and in any given year, depending primarily on the sales vs. lease mix of our products and the mix of the various components of the products, sale prices, and production costs, as well as changes in the scope and composition of our expenses. Annual and quarterly fluctuations in our results of operations may be caused by the timing and composition of orders by our customers and the timing of our ability to recognize revenues. Our future results may also be affected by a number of factors, including our ability to continue to develop, introduce and deliver new and enhanced products on a timely basis and expand into new product offerings at competitive prices, to anticipate effectively customer demands and to manage future inventory levels in line with anticipated demand. Our results may also be affected by currency exchange rate fluctuations and economic conditions in the geographical areas in which we operate. In addition, our revenues may vary significantly from quarter to quarter as a result of, among other factors, the timing of new product announcements and releases by our competitors and us. We cannot be certain that revenues, gross profit and net income (or loss) in any particular quarter will not vary from the preceding or comparable quarters. Our expense levels are based, in part, on expectations as to future revenues. If revenues are below expectations, operating results are likely to be adversely affected. In addition, a substantial portion of our expenses are fixed (e.g., lease payments) and adjusting expenses in the event revenues drop unexpectedly often takes considerable time. As a result, we believe that period-to-period comparisons of our results of operations are not necessarily meaningful and should not be relied upon as indications of future performance. Due to all of the foregoing factors, it is possible that in some future quarters our revenues or operating results will be below the expectations of public market analysts or investors. In such event, the market price of our shares would likely be materially</w:t>
      </w:r>
    </w:p>
    <w:p>
      <w:pPr>
        <w:pStyle w:val="TextBody"/>
        <w:bidi w:val="0"/>
        <w:spacing w:before="0" w:after="0"/>
        <w:ind w:left="507" w:right="0" w:hanging="0"/>
        <w:jc w:val="both"/>
        <w:rPr>
          <w:sz w:val="20"/>
        </w:rPr>
      </w:pPr>
      <w:r>
        <w:rPr>
          <w:sz w:val="20"/>
        </w:rPr>
        <w:t>adversely affected.</w:t>
      </w:r>
    </w:p>
    <w:p>
      <w:pPr>
        <w:pStyle w:val="TextBody"/>
        <w:bidi w:val="0"/>
        <w:spacing w:before="0" w:after="0"/>
        <w:ind w:left="0" w:right="0" w:hanging="0"/>
        <w:jc w:val="both"/>
        <w:rPr/>
      </w:pPr>
      <w:r>
        <w:rPr/>
        <w:t> </w:t>
      </w:r>
    </w:p>
    <w:p>
      <w:pPr>
        <w:pStyle w:val="TextBody"/>
        <w:bidi w:val="0"/>
        <w:spacing w:before="0" w:after="0"/>
        <w:ind w:left="507" w:right="0" w:hanging="0"/>
        <w:jc w:val="both"/>
        <w:rPr>
          <w:sz w:val="20"/>
        </w:rPr>
      </w:pPr>
      <w:r>
        <w:rPr>
          <w:b/>
          <w:sz w:val="20"/>
        </w:rPr>
        <w:t>Operating Results</w:t>
      </w:r>
      <w:r>
        <w:rPr>
          <w:sz w:val="20"/>
        </w:rPr>
        <w:t> </w:t>
      </w:r>
    </w:p>
    <w:p>
      <w:pPr>
        <w:pStyle w:val="TextBody"/>
        <w:bidi w:val="0"/>
        <w:spacing w:before="0" w:after="0"/>
        <w:ind w:left="0" w:right="0" w:hanging="0"/>
        <w:jc w:val="both"/>
        <w:rPr/>
      </w:pPr>
      <w:r>
        <w:rPr/>
        <w:t> </w:t>
      </w:r>
    </w:p>
    <w:tbl>
      <w:tblPr>
        <w:tblW w:w="7813" w:type="dxa"/>
        <w:jc w:val="left"/>
        <w:tblInd w:w="0" w:type="dxa"/>
        <w:tblLayout w:type="fixed"/>
        <w:tblCellMar>
          <w:top w:w="0" w:type="dxa"/>
          <w:left w:w="0" w:type="dxa"/>
          <w:bottom w:w="0" w:type="dxa"/>
          <w:right w:w="0" w:type="dxa"/>
        </w:tblCellMar>
      </w:tblPr>
      <w:tblGrid>
        <w:gridCol w:w="3500"/>
        <w:gridCol w:w="60"/>
        <w:gridCol w:w="125"/>
        <w:gridCol w:w="1680"/>
        <w:gridCol w:w="169"/>
        <w:gridCol w:w="169"/>
        <w:gridCol w:w="355"/>
        <w:gridCol w:w="1680"/>
        <w:gridCol w:w="75"/>
      </w:tblGrid>
      <w:tr>
        <w:trPr/>
        <w:tc>
          <w:tcPr>
            <w:tcW w:w="35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053" w:type="dxa"/>
            <w:gridSpan w:val="5"/>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5" w:type="dxa"/>
            <w:tcBorders/>
            <w:shd w:fill="FFFFFF" w:val="clear"/>
            <w:vAlign w:val="center"/>
          </w:tcPr>
          <w:p>
            <w:pPr>
              <w:pStyle w:val="TableContents"/>
              <w:bidi w:val="0"/>
              <w:spacing w:before="0" w:after="283"/>
              <w:jc w:val="center"/>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355" w:type="dxa"/>
            <w:tcBorders/>
            <w:shd w:fill="FFFFFF" w:val="clear"/>
            <w:vAlign w:val="center"/>
          </w:tcPr>
          <w:p>
            <w:pPr>
              <w:pStyle w:val="TableContents"/>
              <w:bidi w:val="0"/>
              <w:spacing w:before="0" w:after="283"/>
              <w:jc w:val="center"/>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35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053" w:type="dxa"/>
            <w:gridSpan w:val="5"/>
            <w:tcBorders/>
            <w:shd w:fill="FFFFFF" w:val="clear"/>
            <w:vAlign w:val="center"/>
          </w:tcPr>
          <w:p>
            <w:pPr>
              <w:pStyle w:val="TableContents"/>
              <w:bidi w:val="0"/>
              <w:jc w:val="center"/>
              <w:rPr>
                <w:b/>
                <w:sz w:val="20"/>
              </w:rPr>
            </w:pPr>
            <w:r>
              <w:rPr>
                <w:b/>
                <w:sz w:val="20"/>
              </w:rPr>
              <w:t>Unaudited</w:t>
            </w:r>
          </w:p>
          <w:p>
            <w:pPr>
              <w:pStyle w:val="TableContents"/>
              <w:bidi w:val="0"/>
              <w:spacing w:before="0" w:after="283"/>
              <w:jc w:val="center"/>
              <w:rPr>
                <w:b/>
                <w:sz w:val="20"/>
              </w:rPr>
            </w:pPr>
            <w:r>
              <w:rPr>
                <w:b/>
                <w:sz w:val="20"/>
              </w:rPr>
              <w:t>(U.S. dollars in thousands except per share data)</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680" w:type="dxa"/>
            <w:tcBorders/>
            <w:shd w:fill="CCEEFF" w:val="clear"/>
            <w:vAlign w:val="center"/>
          </w:tcPr>
          <w:p>
            <w:pPr>
              <w:pStyle w:val="TableContents"/>
              <w:bidi w:val="0"/>
              <w:spacing w:before="0" w:after="283"/>
              <w:jc w:val="right"/>
              <w:rPr>
                <w:sz w:val="20"/>
              </w:rPr>
            </w:pPr>
            <w:r>
              <w:rPr>
                <w:sz w:val="20"/>
              </w:rPr>
              <w:t>32,638</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20"/>
              </w:rPr>
            </w:pPr>
            <w:r>
              <w:rPr>
                <w:sz w:val="20"/>
              </w:rPr>
              <w:t>$</w:t>
            </w:r>
          </w:p>
        </w:tc>
        <w:tc>
          <w:tcPr>
            <w:tcW w:w="1680" w:type="dxa"/>
            <w:tcBorders/>
            <w:shd w:fill="CCEEFF" w:val="clear"/>
            <w:vAlign w:val="center"/>
          </w:tcPr>
          <w:p>
            <w:pPr>
              <w:pStyle w:val="TableContents"/>
              <w:bidi w:val="0"/>
              <w:spacing w:before="0" w:after="283"/>
              <w:jc w:val="right"/>
              <w:rPr>
                <w:sz w:val="20"/>
              </w:rPr>
            </w:pPr>
            <w:r>
              <w:rPr>
                <w:sz w:val="20"/>
              </w:rPr>
              <w:t>24,168</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8,197</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6,059</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24,441</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18,109</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sz w:val="20"/>
              </w:rPr>
            </w:pPr>
            <w:r>
              <w:rPr>
                <w:sz w:val="20"/>
              </w:rPr>
              <w:t>6,100</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sz w:val="20"/>
              </w:rPr>
            </w:pPr>
            <w:r>
              <w:rPr>
                <w:sz w:val="20"/>
              </w:rPr>
              <w:t>4,676</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9,782</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9,102</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4,163</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3,177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20,045</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16,955</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Operating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sz w:val="20"/>
              </w:rPr>
            </w:pPr>
            <w:r>
              <w:rPr>
                <w:sz w:val="20"/>
              </w:rPr>
              <w:t>4,396</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sz w:val="20"/>
              </w:rPr>
            </w:pPr>
            <w:r>
              <w:rPr>
                <w:sz w:val="20"/>
              </w:rPr>
              <w:t>1,154</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Finance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2,130</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3,414</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Finance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1,198</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Profit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5,328</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sz w:val="20"/>
              </w:rPr>
            </w:pPr>
            <w:r>
              <w:rPr>
                <w:sz w:val="20"/>
              </w:rPr>
              <w:t>3,361</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328</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Net profit and total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69"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3,134</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sz w:val="20"/>
              </w:rPr>
            </w:pPr>
            <w:r>
              <w:rPr>
                <w:sz w:val="20"/>
              </w:rPr>
              <w:t>Basic net earnings per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0.13</w:t>
            </w:r>
          </w:p>
        </w:tc>
        <w:tc>
          <w:tcPr>
            <w:tcW w:w="169" w:type="dxa"/>
            <w:tcBorders>
              <w:bottom w:val="double" w:sz="6" w:space="0" w:color="000000"/>
            </w:tcBorders>
            <w:shd w:fill="FFFFFF" w:val="clear"/>
            <w:tcMar>
              <w:bottom w:w="5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0.08</w:t>
            </w:r>
          </w:p>
        </w:tc>
        <w:tc>
          <w:tcPr>
            <w:tcW w:w="75" w:type="dxa"/>
            <w:tcBorders>
              <w:bottom w:val="double" w:sz="6" w:space="0" w:color="000000"/>
            </w:tcBorders>
            <w:shd w:fill="FFFFFF" w:val="clear"/>
            <w:tcMar>
              <w:bottom w:w="50"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sz w:val="20"/>
              </w:rPr>
            </w:pPr>
            <w:r>
              <w:rPr>
                <w:sz w:val="20"/>
              </w:rPr>
              <w:t>Diluted net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0.12</w:t>
            </w:r>
          </w:p>
        </w:tc>
        <w:tc>
          <w:tcPr>
            <w:tcW w:w="169"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Six Months Ended June 30, 2026 compared to Six Months Ended June 30, 2025</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Revenues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total revenues were $32.6 million for the six months ended June 30, 2026, compared to $24.2 million for the six months ended June 30, 2025. The increase in revenues of $8.5 million, or 35%, is primarily attributed to an increase in leases and sales of our Deep TMS systems to customers. Revenues from sales and leases were 72% and 21%, respectively, of the revenues for the six months ended June 30, 2026, compared to 64% and 24%, respectively, of the revenues for the six months ended June 30, 2025.</w:t>
      </w:r>
    </w:p>
    <w:p>
      <w:pPr>
        <w:pStyle w:val="TextBody"/>
        <w:bidi w:val="0"/>
        <w:spacing w:before="0" w:after="0"/>
        <w:ind w:left="507" w:right="0" w:hanging="0"/>
        <w:jc w:val="both"/>
        <w:rPr/>
      </w:pPr>
      <w:r>
        <w:rPr/>
        <w:t> </w:t>
      </w:r>
    </w:p>
    <w:p>
      <w:pPr>
        <w:pStyle w:val="TextBody"/>
        <w:bidi w:val="0"/>
        <w:spacing w:before="0" w:after="0"/>
        <w:ind w:left="507" w:right="0" w:hanging="0"/>
        <w:jc w:val="both"/>
        <w:rPr>
          <w:i/>
          <w:sz w:val="20"/>
        </w:rPr>
      </w:pPr>
      <w:r>
        <w:rPr>
          <w:i/>
          <w:sz w:val="20"/>
        </w:rPr>
        <w:t>Cost of revenues and gross margin</w:t>
      </w:r>
    </w:p>
    <w:p>
      <w:pPr>
        <w:pStyle w:val="TextBody"/>
        <w:bidi w:val="0"/>
        <w:spacing w:before="0" w:after="0"/>
        <w:ind w:left="0" w:right="0" w:hanging="0"/>
        <w:jc w:val="both"/>
        <w:rPr/>
      </w:pPr>
      <w:r>
        <w:rPr/>
        <w:t> </w:t>
      </w:r>
    </w:p>
    <w:p>
      <w:pPr>
        <w:pStyle w:val="TextBody"/>
        <w:bidi w:val="0"/>
        <w:spacing w:before="0" w:after="0"/>
        <w:ind w:left="507" w:right="283" w:hanging="1"/>
        <w:jc w:val="both"/>
        <w:rPr>
          <w:sz w:val="20"/>
        </w:rPr>
      </w:pPr>
      <w:r>
        <w:rPr>
          <w:sz w:val="20"/>
        </w:rPr>
        <w:t>Our cost of revenues was $8.2 million for the six months ended June 30, 2026, compared to $6.1 million for the six months ended June 30, 2025. The increase of $2.1 million, or 35%, is primarily attributed to an increase in sales volumes. There has been no material change in our gross margin as a percentage of revenue for the last three years.</w:t>
      </w:r>
    </w:p>
    <w:p>
      <w:pPr>
        <w:pStyle w:val="TextBody"/>
        <w:bidi w:val="0"/>
        <w:spacing w:before="0" w:after="0"/>
        <w:ind w:left="0" w:right="0" w:hanging="0"/>
        <w:jc w:val="both"/>
        <w:rPr/>
      </w:pPr>
      <w:r>
        <w:rPr/>
        <w:t> </w:t>
      </w:r>
    </w:p>
    <w:p>
      <w:pPr>
        <w:pStyle w:val="TextBody"/>
        <w:bidi w:val="0"/>
        <w:spacing w:before="0" w:after="0"/>
        <w:ind w:left="507" w:right="0" w:hanging="0"/>
        <w:jc w:val="both"/>
        <w:rPr>
          <w:i/>
          <w:sz w:val="20"/>
        </w:rPr>
      </w:pPr>
      <w:r>
        <w:rPr>
          <w:i/>
          <w:sz w:val="20"/>
        </w:rPr>
        <w:t>Research and development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research and development expenses were $6.1 million for the six months ended June 30, 2026, compared to $4.7 million for the six months ended June 30, 2025. The increase of $1.4 million, or 30%, is primarily attributed to increased headcount and greater use of subcontractors to support software development activities.</w:t>
      </w:r>
    </w:p>
    <w:p>
      <w:pPr>
        <w:pStyle w:val="TextBody"/>
        <w:bidi w:val="0"/>
        <w:spacing w:before="0" w:after="0"/>
        <w:ind w:left="507" w:right="283" w:hanging="0"/>
        <w:jc w:val="both"/>
        <w:rPr/>
      </w:pPr>
      <w:r>
        <w:rPr/>
        <w:t> </w:t>
      </w:r>
    </w:p>
    <w:p>
      <w:pPr>
        <w:pStyle w:val="TextBody"/>
        <w:bidi w:val="0"/>
        <w:spacing w:before="0" w:after="0"/>
        <w:ind w:left="507" w:right="0" w:hanging="0"/>
        <w:jc w:val="both"/>
        <w:rPr>
          <w:i/>
          <w:sz w:val="20"/>
        </w:rPr>
      </w:pPr>
      <w:r>
        <w:rPr>
          <w:i/>
          <w:sz w:val="20"/>
        </w:rPr>
        <w:t>Selling and marketing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selling and marketing expenses were $9.8 million for the six months ended June 30, 2026, compared to $9.1 million for the six months ended June 30, 2025. The increase of $0.7 million, or 7%, is primarily attributed to increased advertising activities.</w:t>
      </w:r>
    </w:p>
    <w:p>
      <w:pPr>
        <w:pStyle w:val="TextBody"/>
        <w:bidi w:val="0"/>
        <w:spacing w:before="0" w:after="0"/>
        <w:ind w:left="507" w:right="283" w:hanging="0"/>
        <w:jc w:val="both"/>
        <w:rPr/>
      </w:pPr>
      <w:r>
        <w:rPr/>
        <w:t> </w:t>
      </w:r>
    </w:p>
    <w:p>
      <w:pPr>
        <w:pStyle w:val="TextBody"/>
        <w:bidi w:val="0"/>
        <w:spacing w:before="0" w:after="0"/>
        <w:ind w:left="507" w:right="0" w:hanging="0"/>
        <w:jc w:val="both"/>
        <w:rPr>
          <w:i/>
          <w:sz w:val="20"/>
        </w:rPr>
      </w:pPr>
      <w:r>
        <w:rPr>
          <w:i/>
          <w:sz w:val="20"/>
        </w:rPr>
        <w:t>General and administrative expenses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Our general and administrative expenses were $4.2 million for the six months ended June 30, 2026, compared to $3.2 million for the six months ended June 30, 2025. The increase of $1.0 million, or 31%, is primarily attributed to higher provisions for doubtful accounts and professional fees.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507" w:right="0" w:hanging="0"/>
        <w:jc w:val="both"/>
        <w:rPr>
          <w:i/>
          <w:sz w:val="20"/>
        </w:rPr>
      </w:pPr>
      <w:r>
        <w:rPr>
          <w:i/>
          <w:sz w:val="20"/>
        </w:rPr>
        <w:t>Finance income, net</w:t>
      </w:r>
    </w:p>
    <w:p>
      <w:pPr>
        <w:pStyle w:val="TextBody"/>
        <w:bidi w:val="0"/>
        <w:spacing w:before="0" w:after="0"/>
        <w:ind w:left="0" w:right="0" w:hanging="0"/>
        <w:jc w:val="both"/>
        <w:rPr/>
      </w:pPr>
      <w:r>
        <w:rPr/>
        <w:t> </w:t>
      </w:r>
    </w:p>
    <w:p>
      <w:pPr>
        <w:pStyle w:val="TextBody"/>
        <w:bidi w:val="0"/>
        <w:spacing w:before="0" w:after="0"/>
        <w:ind w:left="507" w:right="0" w:hanging="0"/>
        <w:jc w:val="both"/>
        <w:rPr>
          <w:sz w:val="20"/>
        </w:rPr>
      </w:pPr>
      <w:r>
        <w:rPr>
          <w:sz w:val="20"/>
        </w:rPr>
        <w:t>Our finance income, net, was $0.9 million for the six months ended June 30, 2026, compared to finance income, net of $2.2 million for the six months ended June 30, 2025. The decrease of $1.3 million is primarily due to lower interest income and to lower gains from hedging activities.</w:t>
      </w:r>
    </w:p>
    <w:p>
      <w:pPr>
        <w:pStyle w:val="TextBody"/>
        <w:bidi w:val="0"/>
        <w:spacing w:before="0" w:after="0"/>
        <w:ind w:left="507" w:right="0" w:hanging="0"/>
        <w:jc w:val="both"/>
        <w:rPr/>
      </w:pPr>
      <w:r>
        <w:rPr/>
        <w:t> </w:t>
      </w:r>
    </w:p>
    <w:p>
      <w:pPr>
        <w:pStyle w:val="TextBody"/>
        <w:bidi w:val="0"/>
        <w:spacing w:before="0" w:after="0"/>
        <w:ind w:left="507" w:right="0" w:hanging="0"/>
        <w:jc w:val="both"/>
        <w:rPr>
          <w:sz w:val="20"/>
        </w:rPr>
      </w:pPr>
      <w:r>
        <w:rPr>
          <w:sz w:val="20"/>
        </w:rPr>
        <w:t>For information on the impact of currency fluctuations on our company, please see “</w:t>
      </w:r>
      <w:r>
        <w:rPr>
          <w:i/>
          <w:sz w:val="20"/>
        </w:rPr>
        <w:t>Item 11. Quantitative and Qualitative Disclosures About Market Risk</w:t>
      </w:r>
      <w:r>
        <w:rPr>
          <w:sz w:val="20"/>
        </w:rPr>
        <w:t>” of our 2025 Annual Report.</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For more information regarding governmental economic, fiscal, monetary or political policies or factors that have materially affected, or could materially affect, directly or indirectly, the Company’s operations in Israel, please see also “</w:t>
      </w:r>
      <w:r>
        <w:rPr>
          <w:i/>
          <w:sz w:val="20"/>
        </w:rPr>
        <w:t>Item 3D. Risk Factors—Risks Related to Our Functions in Israel</w:t>
      </w:r>
      <w:r>
        <w:rPr>
          <w:sz w:val="20"/>
        </w:rPr>
        <w:t>” of our 2025 Annual Report.</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Liquidity and Capital Resources</w:t>
      </w:r>
    </w:p>
    <w:p>
      <w:pPr>
        <w:pStyle w:val="TextBody"/>
        <w:bidi w:val="0"/>
        <w:spacing w:before="0" w:after="0"/>
        <w:ind w:left="0" w:right="0" w:hanging="0"/>
        <w:jc w:val="both"/>
        <w:rPr/>
      </w:pPr>
      <w:r>
        <w:rPr/>
        <w:t> </w:t>
      </w:r>
    </w:p>
    <w:p>
      <w:pPr>
        <w:pStyle w:val="TextBody"/>
        <w:bidi w:val="0"/>
        <w:spacing w:before="0" w:after="0"/>
        <w:ind w:left="507" w:right="283" w:hanging="1"/>
        <w:jc w:val="both"/>
        <w:rPr>
          <w:sz w:val="20"/>
        </w:rPr>
      </w:pPr>
      <w:r>
        <w:rPr>
          <w:sz w:val="20"/>
        </w:rPr>
        <w:t>As of June 30, 2026, we had cash, cash equivalents and restricted cash totaling $62.4 million and an accumulated deficit of $85.8 million, compared to cash, cash equivalents and restricted cash totaling $68.0 million, and an accumulated deficit of $90.8 million as of December 31, 2025. We incurred positive cash flows from operating activities of $7.5 million and $17.4 million for the six months ended June 30, 2026 and 2025, respectively. We incurred operating losses from our inception through the year ended December 31, 2023, and reached a net profit commencing the six months ended June 30, 2024 through the six months ended June 30, 2026, mainly due to an increase in sales. Our primary sources of capital to date have been from public offerings in the U.S. and Israel and private placements of our securities, grants from the IIA, and leases and sales of our Deep TMS systems. From inception through June 30, 2026, we raised approximately $149 million from placements of our securities and the exercise of options.</w:t>
      </w:r>
    </w:p>
    <w:p>
      <w:pPr>
        <w:pStyle w:val="TextBody"/>
        <w:bidi w:val="0"/>
        <w:spacing w:before="0" w:after="0"/>
        <w:ind w:left="507" w:right="283" w:hanging="1"/>
        <w:jc w:val="both"/>
        <w:rPr/>
      </w:pPr>
      <w:r>
        <w:rPr/>
        <w:t> </w:t>
      </w:r>
    </w:p>
    <w:p>
      <w:pPr>
        <w:pStyle w:val="TextBody"/>
        <w:bidi w:val="0"/>
        <w:spacing w:before="0" w:after="0"/>
        <w:ind w:left="507" w:right="283" w:hanging="1"/>
        <w:jc w:val="both"/>
        <w:rPr>
          <w:sz w:val="20"/>
        </w:rPr>
      </w:pPr>
      <w:r>
        <w:rPr>
          <w:sz w:val="20"/>
        </w:rPr>
        <w:t>Our primary contractual obligations consist of liabilities in respect of research and development grants received from the IIA, royalties in respect of license agreements for the use of some of our intellectual property with Yeda and PHS, as well as lease liabilities in respect of corporate facilities and vehicles. For information about our contractual obligations, see Notes 11 and 12 to our financial statements included in our 2025 Annual Report.</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Based on our current business plan, we believe that our cash resources as of June 30, 2026 and the anticipated revenues from sales of our products will be sufficient to fund our operating expenses and capital expenditure requirements in the foreseeable future, including the subsequent investments made toward our business development strategic initiative transactions with Tangient, Radial Health and Sound Minds.</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Cash Flows</w:t>
      </w:r>
    </w:p>
    <w:p>
      <w:pPr>
        <w:pStyle w:val="TextBody"/>
        <w:bidi w:val="0"/>
        <w:spacing w:before="0" w:after="0"/>
        <w:ind w:left="0" w:right="0" w:hanging="0"/>
        <w:jc w:val="both"/>
        <w:rPr/>
      </w:pPr>
      <w:r>
        <w:rPr/>
        <w:t> </w:t>
      </w:r>
    </w:p>
    <w:p>
      <w:pPr>
        <w:pStyle w:val="TextBody"/>
        <w:bidi w:val="0"/>
        <w:spacing w:before="0" w:after="0"/>
        <w:ind w:left="507" w:right="0" w:hanging="0"/>
        <w:jc w:val="both"/>
        <w:rPr>
          <w:sz w:val="20"/>
        </w:rPr>
      </w:pPr>
      <w:r>
        <w:rPr>
          <w:sz w:val="20"/>
        </w:rPr>
        <w:t>The table below summarizes our cash flow activities for the indicated periods:</w:t>
      </w:r>
    </w:p>
    <w:p>
      <w:pPr>
        <w:pStyle w:val="TextBody"/>
        <w:bidi w:val="0"/>
        <w:spacing w:before="0" w:after="0"/>
        <w:ind w:left="507" w:right="0" w:hanging="0"/>
        <w:jc w:val="both"/>
        <w:rPr/>
      </w:pPr>
      <w:r>
        <w:rPr/>
        <w:t> </w:t>
      </w:r>
    </w:p>
    <w:tbl>
      <w:tblPr>
        <w:tblW w:w="7550" w:type="dxa"/>
        <w:jc w:val="left"/>
        <w:tblInd w:w="0" w:type="dxa"/>
        <w:tblLayout w:type="fixed"/>
        <w:tblCellMar>
          <w:top w:w="0" w:type="dxa"/>
          <w:left w:w="0" w:type="dxa"/>
          <w:bottom w:w="0" w:type="dxa"/>
          <w:right w:w="0" w:type="dxa"/>
        </w:tblCellMar>
      </w:tblPr>
      <w:tblGrid>
        <w:gridCol w:w="4520"/>
        <w:gridCol w:w="60"/>
        <w:gridCol w:w="107"/>
        <w:gridCol w:w="1168"/>
        <w:gridCol w:w="143"/>
        <w:gridCol w:w="107"/>
        <w:gridCol w:w="107"/>
        <w:gridCol w:w="1168"/>
        <w:gridCol w:w="170"/>
      </w:tblGrid>
      <w:tr>
        <w:trPr/>
        <w:tc>
          <w:tcPr>
            <w:tcW w:w="4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7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r>
      <w:tr>
        <w:trPr/>
        <w:tc>
          <w:tcPr>
            <w:tcW w:w="4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7" w:type="dxa"/>
            <w:tcBorders/>
            <w:vAlign w:val="center"/>
          </w:tcPr>
          <w:p>
            <w:pPr>
              <w:pStyle w:val="TableContents"/>
              <w:bidi w:val="0"/>
              <w:spacing w:before="0" w:after="283"/>
              <w:jc w:val="left"/>
              <w:rPr/>
            </w:pPr>
            <w:r>
              <w:rPr/>
              <w:t> </w:t>
            </w:r>
          </w:p>
        </w:tc>
        <w:tc>
          <w:tcPr>
            <w:tcW w:w="144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7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Unaudited </w:t>
              <w:br/>
              <w:t>(in U.S. dollars thousands)</w:t>
            </w:r>
          </w:p>
        </w:tc>
      </w:tr>
      <w:tr>
        <w:trPr/>
        <w:tc>
          <w:tcPr>
            <w:tcW w:w="4520" w:type="dxa"/>
            <w:tcBorders/>
            <w:shd w:fill="CCEEFF" w:val="clear"/>
            <w:vAlign w:val="center"/>
          </w:tcPr>
          <w:p>
            <w:pPr>
              <w:pStyle w:val="TableContents"/>
              <w:bidi w:val="0"/>
              <w:spacing w:before="0" w:after="283"/>
              <w:jc w:val="both"/>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7,475</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17,393</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both"/>
              <w:rPr>
                <w:sz w:val="20"/>
              </w:rPr>
            </w:pPr>
            <w:r>
              <w:rPr>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(11,971</w:t>
            </w:r>
          </w:p>
        </w:tc>
        <w:tc>
          <w:tcPr>
            <w:tcW w:w="143" w:type="dxa"/>
            <w:tcBorders/>
            <w:shd w:fill="FFFFFF" w:val="clear"/>
            <w:vAlign w:val="center"/>
          </w:tcPr>
          <w:p>
            <w:pPr>
              <w:pStyle w:val="TableContents"/>
              <w:bidi w:val="0"/>
              <w:spacing w:before="0" w:after="283"/>
              <w:jc w:val="left"/>
              <w:rPr>
                <w:sz w:val="20"/>
              </w:rPr>
            </w:pPr>
            <w:r>
              <w:rPr>
                <w:sz w:val="20"/>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(17,825</w:t>
            </w:r>
          </w:p>
        </w:tc>
        <w:tc>
          <w:tcPr>
            <w:tcW w:w="170" w:type="dxa"/>
            <w:tcBorders/>
            <w:shd w:fill="FFFFFF" w:val="clear"/>
            <w:vAlign w:val="center"/>
          </w:tcPr>
          <w:p>
            <w:pPr>
              <w:pStyle w:val="TableContents"/>
              <w:bidi w:val="0"/>
              <w:spacing w:before="0" w:after="283"/>
              <w:jc w:val="left"/>
              <w:rPr>
                <w:sz w:val="20"/>
              </w:rPr>
            </w:pPr>
            <w:r>
              <w:rPr>
                <w:sz w:val="20"/>
              </w:rPr>
              <w:t>)</w:t>
            </w:r>
          </w:p>
        </w:tc>
      </w:tr>
      <w:tr>
        <w:trPr/>
        <w:tc>
          <w:tcPr>
            <w:tcW w:w="4520" w:type="dxa"/>
            <w:tcBorders/>
            <w:shd w:fill="CCEEFF" w:val="clear"/>
            <w:vAlign w:val="center"/>
          </w:tcPr>
          <w:p>
            <w:pPr>
              <w:pStyle w:val="TableContents"/>
              <w:bidi w:val="0"/>
              <w:spacing w:before="0" w:after="283"/>
              <w:jc w:val="both"/>
              <w:rPr>
                <w:sz w:val="20"/>
              </w:rPr>
            </w:pPr>
            <w:r>
              <w:rPr>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(1,056</w:t>
            </w:r>
          </w:p>
        </w:tc>
        <w:tc>
          <w:tcPr>
            <w:tcW w:w="143" w:type="dxa"/>
            <w:tcBorders/>
            <w:shd w:fill="CCEEFF" w:val="clear"/>
            <w:vAlign w:val="center"/>
          </w:tcPr>
          <w:p>
            <w:pPr>
              <w:pStyle w:val="TableContents"/>
              <w:bidi w:val="0"/>
              <w:spacing w:before="0" w:after="283"/>
              <w:jc w:val="left"/>
              <w:rPr>
                <w:sz w:val="20"/>
              </w:rPr>
            </w:pPr>
            <w:r>
              <w:rPr>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(1,019</w:t>
            </w:r>
          </w:p>
        </w:tc>
        <w:tc>
          <w:tcPr>
            <w:tcW w:w="170" w:type="dxa"/>
            <w:tcBorders/>
            <w:shd w:fill="CCEEFF" w:val="clear"/>
            <w:vAlign w:val="center"/>
          </w:tcPr>
          <w:p>
            <w:pPr>
              <w:pStyle w:val="TableContents"/>
              <w:bidi w:val="0"/>
              <w:spacing w:before="0" w:after="283"/>
              <w:jc w:val="left"/>
              <w:rPr>
                <w:sz w:val="20"/>
              </w:rPr>
            </w:pPr>
            <w:r>
              <w:rPr>
                <w:sz w:val="20"/>
              </w:rPr>
              <w:t>)</w:t>
            </w:r>
          </w:p>
        </w:tc>
      </w:tr>
      <w:tr>
        <w:trPr/>
        <w:tc>
          <w:tcPr>
            <w:tcW w:w="4520" w:type="dxa"/>
            <w:tcBorders/>
            <w:shd w:fill="FFFFFF" w:val="clear"/>
            <w:vAlign w:val="center"/>
          </w:tcPr>
          <w:p>
            <w:pPr>
              <w:pStyle w:val="TableContents"/>
              <w:bidi w:val="0"/>
              <w:spacing w:before="0" w:after="283"/>
              <w:jc w:val="both"/>
              <w:rPr>
                <w:sz w:val="20"/>
              </w:rPr>
            </w:pPr>
            <w:r>
              <w:rPr>
                <w:sz w:val="20"/>
              </w:rPr>
              <w:t>Exchange rate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7"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sz w:val="20"/>
              </w:rPr>
            </w:pPr>
            <w:r>
              <w:rPr>
                <w:sz w:val="20"/>
              </w:rPr>
              <w:t>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(5,592</w:t>
            </w:r>
          </w:p>
        </w:tc>
        <w:tc>
          <w:tcPr>
            <w:tcW w:w="143" w:type="dxa"/>
            <w:tcBorders/>
            <w:shd w:fill="CCEEFF" w:val="clear"/>
            <w:vAlign w:val="center"/>
          </w:tcPr>
          <w:p>
            <w:pPr>
              <w:pStyle w:val="TableContents"/>
              <w:bidi w:val="0"/>
              <w:spacing w:before="0" w:after="283"/>
              <w:jc w:val="left"/>
              <w:rPr>
                <w:sz w:val="20"/>
              </w:rPr>
            </w:pPr>
            <w:r>
              <w:rPr>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(1,433</w:t>
            </w:r>
          </w:p>
        </w:tc>
        <w:tc>
          <w:tcPr>
            <w:tcW w:w="17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507" w:right="0" w:hanging="0"/>
        <w:jc w:val="both"/>
        <w:rPr/>
      </w:pPr>
      <w:r>
        <w:rPr/>
        <w:t> </w:t>
      </w:r>
    </w:p>
    <w:p>
      <w:pPr>
        <w:pStyle w:val="TextBody"/>
        <w:bidi w:val="0"/>
        <w:spacing w:before="0" w:after="0"/>
        <w:ind w:left="507" w:right="0" w:hanging="0"/>
        <w:jc w:val="both"/>
        <w:rPr>
          <w:b/>
          <w:i/>
          <w:sz w:val="20"/>
        </w:rPr>
      </w:pPr>
      <w:r>
        <w:rPr>
          <w:b/>
          <w:i/>
          <w:sz w:val="20"/>
        </w:rPr>
        <w:t>Operating Activities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Net cash provided by operating activities was $7.5 million during the six months ended June 30, 2026, compared to $17.4 million provided by operating activities during the six months ended June 30, 2025. The decrease of $9.9 million is primarily due to a lower increase in deferred revenues and an increase in trade receivables during the six months ended June 30, 2026.</w:t>
      </w:r>
    </w:p>
    <w:p>
      <w:pPr>
        <w:pStyle w:val="TextBody"/>
        <w:bidi w:val="0"/>
        <w:spacing w:before="0" w:after="0"/>
        <w:ind w:left="507" w:right="283" w:hanging="0"/>
        <w:jc w:val="both"/>
        <w:rPr/>
      </w:pPr>
      <w:r>
        <w:rPr/>
        <w:t> </w:t>
      </w:r>
    </w:p>
    <w:p>
      <w:pPr>
        <w:pStyle w:val="TextBody"/>
        <w:bidi w:val="0"/>
        <w:spacing w:before="0" w:after="0"/>
        <w:ind w:left="507" w:right="0" w:hanging="0"/>
        <w:jc w:val="both"/>
        <w:rPr>
          <w:b/>
          <w:i/>
          <w:sz w:val="20"/>
        </w:rPr>
      </w:pPr>
      <w:r>
        <w:rPr>
          <w:b/>
          <w:i/>
          <w:sz w:val="20"/>
        </w:rPr>
        <w:t>Investing Activities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Net cash used in investing activities was $12.0 million during the six months ended June 30, 2026, compared to $17.8 million used in investing activities during the six months ended June 30, 2025. The decrease in cash used in investing activities is mainly due to the absence of the $10.0 million bank-deposit investment made in the prior-year period and the purchase of financial assets measured at fair value of $10.1 million in the six months ended June 30, 2026.</w:t>
      </w:r>
    </w:p>
    <w:p>
      <w:pPr>
        <w:pStyle w:val="TextBody"/>
        <w:bidi w:val="0"/>
        <w:spacing w:before="0" w:after="0"/>
        <w:ind w:left="507"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507" w:right="0" w:hanging="0"/>
        <w:jc w:val="both"/>
        <w:rPr>
          <w:b/>
          <w:i/>
          <w:sz w:val="20"/>
        </w:rPr>
      </w:pPr>
      <w:r>
        <w:rPr>
          <w:b/>
          <w:i/>
          <w:sz w:val="20"/>
        </w:rPr>
        <w:t>Financing Activities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Net cash used in financing activities was $1.1 million during the six months ended June 30, 2026, compared to $1.0 million used in financing activities during the six months ended June 30, 2025. Net cash used was substantially consistent, reflecting repayment of research and development grant liabilities of approximately $0.7 million and lease-liability repayments.</w:t>
      </w:r>
    </w:p>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Government Grants</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During the six months ended June 30, 2026, we did not receive any additional grants from the Israeli government, while we repaid approximately $0.85 million in respect of refundable grants through royalties, compared to approximately $0.6 million during the six months ended June 30, 2025. For a discussion of our existing government grants related to our research and development efforts, please see “Item 5. Operating and Financial Review and Prospects— B. Liquidity and Capital Resources— Government Grants” in our 2025 Annual Report.</w:t>
      </w:r>
    </w:p>
    <w:p>
      <w:pPr>
        <w:pStyle w:val="TextBody"/>
        <w:bidi w:val="0"/>
        <w:spacing w:before="0" w:after="0"/>
        <w:ind w:left="0" w:right="0" w:hanging="0"/>
        <w:jc w:val="both"/>
        <w:rPr/>
      </w:pPr>
      <w:r>
        <w:rPr/>
        <w:t> </w:t>
      </w:r>
    </w:p>
    <w:p>
      <w:pPr>
        <w:pStyle w:val="TextBody"/>
        <w:bidi w:val="0"/>
        <w:spacing w:before="0" w:after="0"/>
        <w:ind w:left="507" w:right="0" w:hanging="0"/>
        <w:jc w:val="both"/>
        <w:rPr>
          <w:b/>
          <w:i/>
          <w:sz w:val="20"/>
        </w:rPr>
      </w:pPr>
      <w:r>
        <w:rPr>
          <w:b/>
          <w:i/>
          <w:sz w:val="20"/>
        </w:rPr>
        <w:t>Warrant Activity</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In connection with the private placement to Valor BrainsWay Holdings, LLC (“Valor”), consummated on November 5, 2024, we issued Valor a warrant to purchase 1,500,000 ADSs (the “Valor Warrant”), at an exercise price of $9.50686 per ADS , or the Valor Warrant Exercise Price. The Valor Warrant became exercisable upon issuance thereof at the closing of the Valor investment and was to remain exercisable for 18 months after the initial issuance date. In October 2025, we received an exercise notice from Valor with respect to all of the issuable ADSs under the Valor Warrant. At our request, the parties agreed for the Valor Warrant to be exercised on a cashless basis, resulting in the issuance of 553,730 ADSs to Valor with no cash proceeds received by us.</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Research and Development, Patents, and Licenses</w:t>
      </w:r>
    </w:p>
    <w:p>
      <w:pPr>
        <w:pStyle w:val="TextBody"/>
        <w:bidi w:val="0"/>
        <w:spacing w:before="0" w:after="0"/>
        <w:ind w:left="507" w:right="0" w:hanging="0"/>
        <w:jc w:val="both"/>
        <w:rPr/>
      </w:pPr>
      <w:r>
        <w:rPr/>
        <w:t> </w:t>
      </w:r>
    </w:p>
    <w:p>
      <w:pPr>
        <w:pStyle w:val="TextBody"/>
        <w:bidi w:val="0"/>
        <w:spacing w:before="0" w:after="0"/>
        <w:ind w:left="507" w:right="283" w:hanging="0"/>
        <w:jc w:val="both"/>
        <w:rPr>
          <w:sz w:val="20"/>
        </w:rPr>
      </w:pPr>
      <w:r>
        <w:rPr>
          <w:sz w:val="20"/>
        </w:rPr>
        <w:t>No significant changes with respect to our research and development efforts occurred during the six months ended June 30, 2026. For descriptions of our research and development, patent and licenses, please see “Item 5. Operating and Financial Review and Prospects— C. Research and Development, Patents, and Licenses” in our 2025 Annual Report</w:t>
      </w:r>
    </w:p>
    <w:p>
      <w:pPr>
        <w:pStyle w:val="TextBody"/>
        <w:bidi w:val="0"/>
        <w:spacing w:before="0" w:after="0"/>
        <w:ind w:left="0" w:right="0" w:hanging="0"/>
        <w:jc w:val="both"/>
        <w:rPr/>
      </w:pPr>
      <w:r>
        <w:rPr/>
        <w:t> </w:t>
      </w:r>
    </w:p>
    <w:p>
      <w:pPr>
        <w:pStyle w:val="TextBody"/>
        <w:bidi w:val="0"/>
        <w:spacing w:before="0" w:after="0"/>
        <w:ind w:left="507" w:right="0" w:hanging="0"/>
        <w:jc w:val="both"/>
        <w:rPr>
          <w:b/>
          <w:sz w:val="20"/>
        </w:rPr>
      </w:pPr>
      <w:r>
        <w:rPr>
          <w:b/>
          <w:sz w:val="20"/>
        </w:rPr>
        <w:t>Trend Information</w:t>
      </w:r>
    </w:p>
    <w:p>
      <w:pPr>
        <w:pStyle w:val="TextBody"/>
        <w:bidi w:val="0"/>
        <w:spacing w:before="0" w:after="0"/>
        <w:ind w:left="0" w:right="0" w:hanging="0"/>
        <w:jc w:val="both"/>
        <w:rPr/>
      </w:pPr>
      <w:r>
        <w:rPr/>
        <w:t> </w:t>
      </w:r>
    </w:p>
    <w:p>
      <w:pPr>
        <w:pStyle w:val="TextBody"/>
        <w:bidi w:val="0"/>
        <w:spacing w:before="0" w:after="0"/>
        <w:ind w:left="507" w:right="283" w:hanging="0"/>
        <w:jc w:val="both"/>
        <w:rPr>
          <w:sz w:val="20"/>
        </w:rPr>
      </w:pPr>
      <w:r>
        <w:rPr>
          <w:sz w:val="20"/>
        </w:rPr>
        <w:t>No significant changes with respect to trends occurred during the six months ended June 30, 2026. For descriptions of our trend information, please see “Item 5. Operating and Financial Review and Prospects— D. Trend Information” in our 2025 Annual Report.</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p>
      <w:pPr>
        <w:pStyle w:val="TextBody"/>
        <w:bidi w:val="0"/>
        <w:spacing w:before="0" w:after="0"/>
        <w:ind w:left="507" w:right="283"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10144</Words>
  <Characters>55769</Characters>
  <CharactersWithSpaces>67285</CharactersWithSpaces>
  <Paragraphs>3417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